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BE009" w14:textId="53B3D2CF" w:rsidR="00E90E49" w:rsidRPr="00B07E89" w:rsidRDefault="00E90E49" w:rsidP="00CC54F4">
      <w:pPr>
        <w:pStyle w:val="3GPPHeader"/>
        <w:spacing w:after="0"/>
        <w:jc w:val="both"/>
        <w:rPr>
          <w:sz w:val="32"/>
          <w:szCs w:val="32"/>
          <w:highlight w:val="yellow"/>
        </w:rPr>
      </w:pPr>
      <w:bookmarkStart w:id="0" w:name="_Hlk23418275"/>
      <w:bookmarkStart w:id="1" w:name="_GoBack"/>
      <w:bookmarkEnd w:id="1"/>
      <w:r w:rsidRPr="00B07E89">
        <w:t>3GPP TSG-RAN WG</w:t>
      </w:r>
      <w:r w:rsidR="008F1C4E" w:rsidRPr="00B07E89">
        <w:t>1</w:t>
      </w:r>
      <w:r w:rsidRPr="00B07E89">
        <w:t xml:space="preserve"> </w:t>
      </w:r>
      <w:r w:rsidR="008F1C4E" w:rsidRPr="00B07E89">
        <w:t xml:space="preserve">Meeting </w:t>
      </w:r>
      <w:r w:rsidRPr="00B07E89">
        <w:t>#</w:t>
      </w:r>
      <w:r w:rsidR="00832D7C" w:rsidRPr="00B07E89">
        <w:t>99</w:t>
      </w:r>
      <w:r w:rsidRPr="00B07E89">
        <w:tab/>
      </w:r>
      <w:r w:rsidR="00091557" w:rsidRPr="00B07E89">
        <w:rPr>
          <w:sz w:val="32"/>
          <w:szCs w:val="32"/>
        </w:rPr>
        <w:t>R</w:t>
      </w:r>
      <w:r w:rsidR="008F1C4E" w:rsidRPr="00B07E89">
        <w:rPr>
          <w:sz w:val="32"/>
          <w:szCs w:val="32"/>
        </w:rPr>
        <w:t>1</w:t>
      </w:r>
      <w:r w:rsidR="00832D7C" w:rsidRPr="00B07E89">
        <w:rPr>
          <w:sz w:val="32"/>
          <w:szCs w:val="32"/>
        </w:rPr>
        <w:t>-191183</w:t>
      </w:r>
      <w:r w:rsidR="007E1D58" w:rsidRPr="00B07E89">
        <w:rPr>
          <w:sz w:val="32"/>
          <w:szCs w:val="32"/>
        </w:rPr>
        <w:t>7</w:t>
      </w:r>
    </w:p>
    <w:p w14:paraId="4DAE9F8C" w14:textId="13FF30EE" w:rsidR="00E90E49" w:rsidRPr="00B07E89" w:rsidRDefault="00832D7C" w:rsidP="00CC54F4">
      <w:pPr>
        <w:pStyle w:val="3GPPHeader"/>
        <w:jc w:val="both"/>
      </w:pPr>
      <w:r w:rsidRPr="00B07E89">
        <w:t>Reno, USA,</w:t>
      </w:r>
      <w:r w:rsidR="0027144F" w:rsidRPr="00B07E89">
        <w:t xml:space="preserve"> </w:t>
      </w:r>
      <w:r w:rsidRPr="00B07E89">
        <w:t>November</w:t>
      </w:r>
      <w:r w:rsidR="0027144F" w:rsidRPr="00B07E89">
        <w:t xml:space="preserve"> </w:t>
      </w:r>
      <w:r w:rsidRPr="00B07E89">
        <w:t>18</w:t>
      </w:r>
      <w:r w:rsidRPr="00B07E89">
        <w:rPr>
          <w:vertAlign w:val="superscript"/>
        </w:rPr>
        <w:t>th</w:t>
      </w:r>
      <w:r w:rsidRPr="00B07E89">
        <w:t xml:space="preserve"> </w:t>
      </w:r>
      <w:r w:rsidR="001D53E7" w:rsidRPr="00B07E89">
        <w:t xml:space="preserve">– </w:t>
      </w:r>
      <w:r w:rsidRPr="00B07E89">
        <w:t>22</w:t>
      </w:r>
      <w:r w:rsidRPr="00B07E89">
        <w:rPr>
          <w:vertAlign w:val="superscript"/>
        </w:rPr>
        <w:t>nd</w:t>
      </w:r>
      <w:r w:rsidR="00C37CB2" w:rsidRPr="00B07E89">
        <w:t xml:space="preserve"> </w:t>
      </w:r>
      <w:r w:rsidR="0027144F" w:rsidRPr="00B07E89">
        <w:t>20</w:t>
      </w:r>
      <w:r w:rsidR="005F3025" w:rsidRPr="00B07E89">
        <w:t>1</w:t>
      </w:r>
      <w:r w:rsidRPr="00B07E89">
        <w:t>9</w:t>
      </w:r>
      <w:bookmarkEnd w:id="0"/>
    </w:p>
    <w:p w14:paraId="3F2B9560" w14:textId="77777777" w:rsidR="00E90E49" w:rsidRPr="00B07E89" w:rsidRDefault="00E90E49" w:rsidP="00CC54F4">
      <w:pPr>
        <w:pStyle w:val="3GPPHeader"/>
        <w:jc w:val="both"/>
      </w:pPr>
    </w:p>
    <w:p w14:paraId="060E63B6" w14:textId="0AD5167E" w:rsidR="00E90E49" w:rsidRPr="00B07E89" w:rsidRDefault="00E90E49" w:rsidP="00CC54F4">
      <w:pPr>
        <w:pStyle w:val="3GPPHeader"/>
        <w:jc w:val="both"/>
      </w:pPr>
      <w:r w:rsidRPr="00B07E89">
        <w:t>Agenda Item:</w:t>
      </w:r>
      <w:r w:rsidRPr="00B07E89">
        <w:tab/>
      </w:r>
      <w:r w:rsidR="008D5B05" w:rsidRPr="00B07E89">
        <w:t>6.2.</w:t>
      </w:r>
      <w:r w:rsidR="00747EF4" w:rsidRPr="00B07E89">
        <w:t>2</w:t>
      </w:r>
      <w:r w:rsidR="008D5B05" w:rsidRPr="00B07E89">
        <w:t>.1</w:t>
      </w:r>
    </w:p>
    <w:p w14:paraId="7113FCCE" w14:textId="77777777" w:rsidR="00E90E49" w:rsidRPr="00B07E89" w:rsidRDefault="003D3C45" w:rsidP="00CC54F4">
      <w:pPr>
        <w:pStyle w:val="3GPPHeader"/>
        <w:jc w:val="both"/>
      </w:pPr>
      <w:r w:rsidRPr="00B07E89">
        <w:t>Source:</w:t>
      </w:r>
      <w:r w:rsidR="00E90E49" w:rsidRPr="00B07E89">
        <w:tab/>
      </w:r>
      <w:r w:rsidR="00F64C2B" w:rsidRPr="00B07E89">
        <w:t>Ericsson</w:t>
      </w:r>
    </w:p>
    <w:p w14:paraId="26D653D0" w14:textId="202B212C" w:rsidR="00E90E49" w:rsidRPr="00B07E89" w:rsidRDefault="003D3C45" w:rsidP="00CC54F4">
      <w:pPr>
        <w:pStyle w:val="3GPPHeader"/>
        <w:jc w:val="both"/>
      </w:pPr>
      <w:r w:rsidRPr="00B07E89">
        <w:t>Title:</w:t>
      </w:r>
      <w:r w:rsidR="00E90E49" w:rsidRPr="00B07E89">
        <w:tab/>
      </w:r>
      <w:r w:rsidR="008D5B05" w:rsidRPr="00B07E89">
        <w:t xml:space="preserve">UE-group wake-up signal in </w:t>
      </w:r>
      <w:r w:rsidR="00747EF4" w:rsidRPr="00B07E89">
        <w:t>NB-IoT</w:t>
      </w:r>
    </w:p>
    <w:p w14:paraId="075A1879" w14:textId="77777777" w:rsidR="00E90E49" w:rsidRPr="00B07E89" w:rsidRDefault="00E90E49" w:rsidP="00CC54F4">
      <w:pPr>
        <w:pStyle w:val="3GPPHeader"/>
        <w:jc w:val="both"/>
      </w:pPr>
      <w:r w:rsidRPr="00B07E89">
        <w:t>Document for:</w:t>
      </w:r>
      <w:r w:rsidRPr="00B07E89">
        <w:tab/>
        <w:t>Discussion, Decision</w:t>
      </w:r>
    </w:p>
    <w:p w14:paraId="26699F7E" w14:textId="77777777" w:rsidR="00E90E49" w:rsidRPr="00B07E89" w:rsidRDefault="00E90E49" w:rsidP="00CC54F4">
      <w:pPr>
        <w:jc w:val="both"/>
      </w:pPr>
    </w:p>
    <w:p w14:paraId="3D186DD4" w14:textId="77777777" w:rsidR="00E90E49" w:rsidRPr="00B07E89" w:rsidRDefault="00E90E49" w:rsidP="00CC54F4">
      <w:pPr>
        <w:pStyle w:val="Heading1"/>
        <w:jc w:val="both"/>
        <w:rPr>
          <w:lang w:val="en-US"/>
        </w:rPr>
      </w:pPr>
      <w:r w:rsidRPr="00B07E89">
        <w:rPr>
          <w:lang w:val="en-US"/>
        </w:rPr>
        <w:t>Introduction</w:t>
      </w:r>
    </w:p>
    <w:p w14:paraId="7D4AD0C8" w14:textId="2EE7E0CF" w:rsidR="008D5B05" w:rsidRPr="00B07E89" w:rsidRDefault="008D5B05" w:rsidP="00CC54F4">
      <w:pPr>
        <w:jc w:val="both"/>
        <w:rPr>
          <w:lang w:eastAsia="ja-JP"/>
        </w:rPr>
      </w:pPr>
      <w:r w:rsidRPr="00B07E89">
        <w:rPr>
          <w:lang w:eastAsia="ja-JP"/>
        </w:rPr>
        <w:t xml:space="preserve">In the Rel-16 WID, one of the objectives is to introduce </w:t>
      </w:r>
      <w:r w:rsidRPr="00B07E89">
        <w:rPr>
          <w:lang w:eastAsia="ja-JP"/>
        </w:rPr>
        <w:fldChar w:fldCharType="begin"/>
      </w:r>
      <w:r w:rsidRPr="00B07E89">
        <w:rPr>
          <w:lang w:eastAsia="ja-JP"/>
        </w:rPr>
        <w:instrText xml:space="preserve"> REF _Ref20916874 \r \h  \* MERGEFORMAT </w:instrText>
      </w:r>
      <w:r w:rsidRPr="00B07E89">
        <w:rPr>
          <w:lang w:eastAsia="ja-JP"/>
        </w:rPr>
      </w:r>
      <w:r w:rsidRPr="00B07E89">
        <w:rPr>
          <w:lang w:eastAsia="ja-JP"/>
        </w:rPr>
        <w:fldChar w:fldCharType="separate"/>
      </w:r>
      <w:r w:rsidR="00DD01EB">
        <w:rPr>
          <w:lang w:eastAsia="ja-JP"/>
        </w:rPr>
        <w:t>[1]</w:t>
      </w:r>
      <w:r w:rsidRPr="00B07E89">
        <w:rPr>
          <w:lang w:eastAsia="ja-JP"/>
        </w:rPr>
        <w:fldChar w:fldCharType="end"/>
      </w:r>
      <w:r w:rsidRPr="00B07E89">
        <w:rPr>
          <w:lang w:eastAsia="ja-JP"/>
        </w:rPr>
        <w:t>:</w:t>
      </w:r>
    </w:p>
    <w:tbl>
      <w:tblPr>
        <w:tblStyle w:val="TableGrid"/>
        <w:tblW w:w="0" w:type="auto"/>
        <w:tblLook w:val="04A0" w:firstRow="1" w:lastRow="0" w:firstColumn="1" w:lastColumn="0" w:noHBand="0" w:noVBand="1"/>
      </w:tblPr>
      <w:tblGrid>
        <w:gridCol w:w="9629"/>
      </w:tblGrid>
      <w:tr w:rsidR="008D5B05" w:rsidRPr="00B07E89" w14:paraId="01A1CEF4" w14:textId="77777777" w:rsidTr="00BB0D74">
        <w:tc>
          <w:tcPr>
            <w:tcW w:w="9629" w:type="dxa"/>
          </w:tcPr>
          <w:p w14:paraId="3A3887CF" w14:textId="77777777" w:rsidR="008D5B05" w:rsidRPr="00B07E89" w:rsidRDefault="008D5B05" w:rsidP="00CC54F4">
            <w:pPr>
              <w:spacing w:before="240"/>
              <w:jc w:val="both"/>
              <w:rPr>
                <w:b/>
                <w:lang w:eastAsia="ja-JP"/>
              </w:rPr>
            </w:pPr>
            <w:r w:rsidRPr="00B07E89">
              <w:rPr>
                <w:b/>
                <w:lang w:eastAsia="ja-JP"/>
              </w:rPr>
              <w:t>Improved DL transmission efficiency and/or UE power consumption:</w:t>
            </w:r>
          </w:p>
          <w:p w14:paraId="25BEF37B" w14:textId="77777777" w:rsidR="008D5B05" w:rsidRPr="00B07E89" w:rsidRDefault="008D5B05" w:rsidP="00CC54F4">
            <w:pPr>
              <w:jc w:val="both"/>
              <w:rPr>
                <w:lang w:eastAsia="ja-JP"/>
              </w:rPr>
            </w:pPr>
            <w:r w:rsidRPr="00B07E89">
              <w:rPr>
                <w:lang w:eastAsia="ja-JP"/>
              </w:rPr>
              <w:t>•</w:t>
            </w:r>
            <w:r w:rsidRPr="00B07E89">
              <w:rPr>
                <w:lang w:eastAsia="ja-JP"/>
              </w:rPr>
              <w:tab/>
              <w:t>…</w:t>
            </w:r>
          </w:p>
          <w:p w14:paraId="298F8303" w14:textId="77777777" w:rsidR="008D5B05" w:rsidRPr="00B07E89" w:rsidRDefault="008D5B05" w:rsidP="00CC54F4">
            <w:pPr>
              <w:jc w:val="both"/>
              <w:rPr>
                <w:lang w:eastAsia="ja-JP"/>
              </w:rPr>
            </w:pPr>
            <w:r w:rsidRPr="00B07E89">
              <w:rPr>
                <w:lang w:eastAsia="ja-JP"/>
              </w:rPr>
              <w:t>•</w:t>
            </w:r>
            <w:r w:rsidRPr="00B07E89">
              <w:rPr>
                <w:lang w:eastAsia="ja-JP"/>
              </w:rPr>
              <w:tab/>
              <w:t>Specify support for UE-group wake-up signal (WUS) [RAN1, RAN2, RAN4]</w:t>
            </w:r>
          </w:p>
        </w:tc>
      </w:tr>
    </w:tbl>
    <w:p w14:paraId="6D3A3BAC" w14:textId="1E231B5D" w:rsidR="00477768" w:rsidRPr="00B07E89" w:rsidRDefault="008D5B05" w:rsidP="00CC54F4">
      <w:pPr>
        <w:pStyle w:val="BodyText"/>
        <w:spacing w:before="240"/>
        <w:jc w:val="both"/>
        <w:rPr>
          <w:lang w:eastAsia="ja-JP"/>
        </w:rPr>
      </w:pPr>
      <w:r w:rsidRPr="00B07E89">
        <w:rPr>
          <w:lang w:eastAsia="ja-JP"/>
        </w:rPr>
        <w:t xml:space="preserve"> With respect to the above objective, the following agreements were made in RAN1 #98 </w:t>
      </w:r>
      <w:r w:rsidRPr="00B07E89">
        <w:rPr>
          <w:lang w:eastAsia="ja-JP"/>
        </w:rPr>
        <w:fldChar w:fldCharType="begin"/>
      </w:r>
      <w:r w:rsidRPr="00B07E89">
        <w:rPr>
          <w:lang w:eastAsia="ja-JP"/>
        </w:rPr>
        <w:instrText xml:space="preserve"> REF _Ref20916890 \r \h  \* MERGEFORMAT </w:instrText>
      </w:r>
      <w:r w:rsidRPr="00B07E89">
        <w:rPr>
          <w:lang w:eastAsia="ja-JP"/>
        </w:rPr>
      </w:r>
      <w:r w:rsidRPr="00B07E89">
        <w:rPr>
          <w:lang w:eastAsia="ja-JP"/>
        </w:rPr>
        <w:fldChar w:fldCharType="separate"/>
      </w:r>
      <w:r w:rsidR="00DD01EB">
        <w:rPr>
          <w:lang w:eastAsia="ja-JP"/>
        </w:rPr>
        <w:t>[2]</w:t>
      </w:r>
      <w:r w:rsidRPr="00B07E89">
        <w:rPr>
          <w:lang w:eastAsia="ja-JP"/>
        </w:rPr>
        <w:fldChar w:fldCharType="end"/>
      </w:r>
      <w:r w:rsidRPr="00B07E89">
        <w:rPr>
          <w:lang w:eastAsia="ja-JP"/>
        </w:rPr>
        <w:t>:</w:t>
      </w:r>
    </w:p>
    <w:tbl>
      <w:tblPr>
        <w:tblStyle w:val="TableGrid"/>
        <w:tblW w:w="0" w:type="auto"/>
        <w:tblLook w:val="04A0" w:firstRow="1" w:lastRow="0" w:firstColumn="1" w:lastColumn="0" w:noHBand="0" w:noVBand="1"/>
      </w:tblPr>
      <w:tblGrid>
        <w:gridCol w:w="9629"/>
      </w:tblGrid>
      <w:tr w:rsidR="004C16DC" w:rsidRPr="00B07E89" w14:paraId="3F1ED6D5" w14:textId="77777777" w:rsidTr="004C16DC">
        <w:tc>
          <w:tcPr>
            <w:tcW w:w="9629" w:type="dxa"/>
          </w:tcPr>
          <w:p w14:paraId="348E7849" w14:textId="4F48FC6E" w:rsidR="009C1624" w:rsidRPr="00B07E89" w:rsidRDefault="00313E82" w:rsidP="00CC54F4">
            <w:pPr>
              <w:pStyle w:val="BodyText"/>
              <w:spacing w:before="240" w:after="0"/>
              <w:jc w:val="both"/>
            </w:pPr>
            <w:bookmarkStart w:id="2" w:name="_Toc21948630"/>
            <w:r w:rsidRPr="00B07E89">
              <w:t>For group WUS resources sharing WUS gap, per default, the number of UE groups per resource is configured for all group WUS resources. Optionally, the number of UE groups for each WUS resource can be configured individually.</w:t>
            </w:r>
            <w:bookmarkEnd w:id="2"/>
          </w:p>
          <w:p w14:paraId="3E08F44F" w14:textId="77777777" w:rsidR="009C1624" w:rsidRPr="00B07E89" w:rsidRDefault="009C1624" w:rsidP="00CC54F4">
            <w:pPr>
              <w:pStyle w:val="BodyText"/>
              <w:spacing w:after="0"/>
              <w:jc w:val="both"/>
            </w:pPr>
          </w:p>
          <w:p w14:paraId="2F633C0F" w14:textId="0F57C0DC" w:rsidR="00313E82" w:rsidRPr="00B07E89" w:rsidRDefault="00313E82" w:rsidP="00CC54F4">
            <w:pPr>
              <w:pStyle w:val="BodyText"/>
              <w:spacing w:after="0"/>
              <w:jc w:val="both"/>
            </w:pPr>
            <w:r w:rsidRPr="00B07E89">
              <w:rPr>
                <w:lang w:eastAsia="ja-JP"/>
              </w:rPr>
              <w:t>The number of UE groups per WUS resource is 1, 2, 4, or 8</w:t>
            </w:r>
          </w:p>
          <w:p w14:paraId="326AF98D" w14:textId="77777777" w:rsidR="009C1624" w:rsidRPr="00B07E89" w:rsidRDefault="009C1624" w:rsidP="00CC54F4">
            <w:pPr>
              <w:pStyle w:val="BodyText"/>
              <w:spacing w:after="0"/>
              <w:jc w:val="both"/>
            </w:pPr>
            <w:bookmarkStart w:id="3" w:name="_Toc21948638"/>
          </w:p>
          <w:p w14:paraId="4B7D98F3" w14:textId="15BDEE48" w:rsidR="00313E82" w:rsidRPr="00B07E89" w:rsidRDefault="00313E82" w:rsidP="00CC54F4">
            <w:pPr>
              <w:pStyle w:val="BodyText"/>
              <w:spacing w:after="0"/>
              <w:jc w:val="both"/>
              <w:rPr>
                <w:lang w:eastAsia="x-none"/>
              </w:rPr>
            </w:pPr>
            <w:r w:rsidRPr="00B07E89">
              <w:t>The optional eDRX configurability and configuration values regarding the number of consecutive POs a WUS is associated same as in Rel-15 legacy WUS.</w:t>
            </w:r>
            <w:bookmarkEnd w:id="3"/>
          </w:p>
          <w:p w14:paraId="59451E6E" w14:textId="77777777" w:rsidR="009C1624" w:rsidRPr="00B07E89" w:rsidRDefault="009C1624" w:rsidP="00CC54F4">
            <w:pPr>
              <w:pStyle w:val="BodyText"/>
              <w:spacing w:after="0"/>
              <w:jc w:val="both"/>
              <w:rPr>
                <w:szCs w:val="20"/>
                <w:lang w:eastAsia="ja-JP"/>
              </w:rPr>
            </w:pPr>
            <w:bookmarkStart w:id="4" w:name="_Toc21948643"/>
          </w:p>
          <w:p w14:paraId="76CA504D" w14:textId="6F8EBA6C" w:rsidR="00313E82" w:rsidRPr="00B07E89" w:rsidRDefault="00313E82" w:rsidP="00CC54F4">
            <w:pPr>
              <w:pStyle w:val="BodyText"/>
              <w:spacing w:after="0"/>
              <w:jc w:val="both"/>
              <w:rPr>
                <w:rFonts w:cs="Times New Roman"/>
                <w:szCs w:val="20"/>
                <w:lang w:eastAsia="x-none"/>
              </w:rPr>
            </w:pPr>
            <w:r w:rsidRPr="00B07E89">
              <w:rPr>
                <w:szCs w:val="20"/>
                <w:lang w:eastAsia="ja-JP"/>
              </w:rPr>
              <w:t xml:space="preserve">The group WUS resource that may coincide with legacy WUS is assigned </w:t>
            </w:r>
            <w:r w:rsidRPr="00B07E89">
              <w:rPr>
                <w:rFonts w:ascii="Times" w:eastAsia="Batang" w:hAnsi="Times" w:cs="Times New Roman"/>
                <w:position w:val="-12"/>
                <w:sz w:val="20"/>
                <w:szCs w:val="20"/>
                <w:lang w:eastAsia="ja-JP"/>
              </w:rPr>
              <w:object w:dxaOrig="1185" w:dyaOrig="375" w14:anchorId="6EFF7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18.75pt" o:ole="">
                  <v:imagedata r:id="rId11" o:title=""/>
                </v:shape>
                <o:OLEObject Type="Embed" ProgID="Equation.DSMT4" ShapeID="_x0000_i1025" DrawAspect="Content" ObjectID="_1634787549" r:id="rId12"/>
              </w:object>
            </w:r>
            <w:r w:rsidRPr="00B07E89">
              <w:rPr>
                <w:szCs w:val="20"/>
                <w:lang w:eastAsia="ja-JP"/>
              </w:rPr>
              <w:t xml:space="preserve"> and the preceding group WUS resource is assigned </w:t>
            </w:r>
            <w:r w:rsidRPr="00B07E89">
              <w:rPr>
                <w:rFonts w:ascii="Times" w:eastAsia="Batang" w:hAnsi="Times" w:cs="Times New Roman"/>
                <w:position w:val="-12"/>
                <w:sz w:val="20"/>
                <w:szCs w:val="20"/>
                <w:lang w:eastAsia="ja-JP"/>
              </w:rPr>
              <w:object w:dxaOrig="1140" w:dyaOrig="375" w14:anchorId="5A0528A1">
                <v:shape id="_x0000_i1026" type="#_x0000_t75" style="width:57pt;height:18.75pt" o:ole="">
                  <v:imagedata r:id="rId13" o:title=""/>
                </v:shape>
                <o:OLEObject Type="Embed" ProgID="Equation.DSMT4" ShapeID="_x0000_i1026" DrawAspect="Content" ObjectID="_1634787550" r:id="rId14"/>
              </w:object>
            </w:r>
            <w:r w:rsidRPr="00B07E89">
              <w:fldChar w:fldCharType="begin"/>
            </w:r>
            <w:r w:rsidRPr="00B07E89">
              <w:rPr>
                <w:szCs w:val="20"/>
                <w:lang w:eastAsia="ja-JP"/>
              </w:rPr>
              <w:instrText xml:space="preserve"> QUOTE </w:instrText>
            </w:r>
            <m:oMath>
              <m:sSubSup>
                <m:sSubSupPr>
                  <m:ctrlPr>
                    <w:rPr>
                      <w:rFonts w:ascii="Cambria Math" w:eastAsia="Batang" w:hAnsi="Cambria Math" w:cs="Times New Roman"/>
                      <w:i/>
                      <w:szCs w:val="24"/>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m:t>
              </m:r>
            </m:oMath>
            <w:r w:rsidRPr="00B07E89">
              <w:rPr>
                <w:szCs w:val="20"/>
                <w:lang w:eastAsia="ja-JP"/>
              </w:rPr>
              <w:instrText xml:space="preserve"> </w:instrText>
            </w:r>
            <w:r w:rsidRPr="00B07E89">
              <w:fldChar w:fldCharType="separate"/>
            </w:r>
            <m:oMath>
              <m:sSubSup>
                <m:sSubSupPr>
                  <m:ctrlPr>
                    <w:rPr>
                      <w:rFonts w:ascii="Cambria Math" w:eastAsia="Batang" w:hAnsi="Cambria Math" w:cs="Times New Roman"/>
                      <w:i/>
                      <w:szCs w:val="24"/>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m:t>
              </m:r>
            </m:oMath>
            <w:r w:rsidRPr="00B07E89">
              <w:fldChar w:fldCharType="end"/>
            </w:r>
            <w:r w:rsidRPr="00B07E89">
              <w:rPr>
                <w:szCs w:val="20"/>
                <w:lang w:eastAsia="ja-JP"/>
              </w:rPr>
              <w:t>.</w:t>
            </w:r>
            <w:bookmarkEnd w:id="4"/>
          </w:p>
          <w:p w14:paraId="528DDA1B" w14:textId="77777777" w:rsidR="009C1624" w:rsidRPr="00B07E89" w:rsidRDefault="009C1624" w:rsidP="00CC54F4">
            <w:pPr>
              <w:pStyle w:val="BodyText"/>
              <w:spacing w:after="0"/>
              <w:jc w:val="both"/>
              <w:rPr>
                <w:lang w:eastAsia="ja-JP"/>
              </w:rPr>
            </w:pPr>
            <w:bookmarkStart w:id="5" w:name="_Toc21948644"/>
          </w:p>
          <w:p w14:paraId="06508FFB" w14:textId="4BAD4DC8" w:rsidR="00313E82" w:rsidRPr="00B07E89" w:rsidRDefault="00313E82" w:rsidP="00CC54F4">
            <w:pPr>
              <w:pStyle w:val="BodyText"/>
              <w:spacing w:after="0"/>
              <w:jc w:val="both"/>
              <w:rPr>
                <w:rFonts w:cs="Times New Roman"/>
                <w:szCs w:val="24"/>
                <w:lang w:eastAsia="x-none"/>
              </w:rPr>
            </w:pPr>
            <w:r w:rsidRPr="00B07E89">
              <w:rPr>
                <w:lang w:eastAsia="ja-JP"/>
              </w:rPr>
              <w:t>The group WUS base sequence is initialized according to</w:t>
            </w:r>
            <w:bookmarkEnd w:id="5"/>
          </w:p>
          <w:p w14:paraId="5BB0314D" w14:textId="0F5A60EF" w:rsidR="00313E82" w:rsidRPr="00B07E89" w:rsidRDefault="00313E82" w:rsidP="00CC54F4">
            <w:pPr>
              <w:pStyle w:val="BodyText"/>
              <w:spacing w:after="0"/>
              <w:jc w:val="both"/>
              <w:rPr>
                <w:lang w:eastAsia="x-none"/>
              </w:rPr>
            </w:pPr>
            <w:r w:rsidRPr="00B07E89">
              <w:rPr>
                <w:noProof/>
              </w:rPr>
              <w:drawing>
                <wp:inline distT="0" distB="0" distL="0" distR="0" wp14:anchorId="12F49E34" wp14:editId="12FD02A0">
                  <wp:extent cx="5764530" cy="4692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4530" cy="469265"/>
                          </a:xfrm>
                          <a:prstGeom prst="rect">
                            <a:avLst/>
                          </a:prstGeom>
                          <a:noFill/>
                          <a:ln>
                            <a:noFill/>
                          </a:ln>
                        </pic:spPr>
                      </pic:pic>
                    </a:graphicData>
                  </a:graphic>
                </wp:inline>
              </w:drawing>
            </w:r>
          </w:p>
          <w:p w14:paraId="11603BC1" w14:textId="3FEDC2C5" w:rsidR="00313E82" w:rsidRPr="00B07E89" w:rsidRDefault="00313E82" w:rsidP="00CC54F4">
            <w:pPr>
              <w:pStyle w:val="BodyText"/>
              <w:spacing w:after="0"/>
              <w:jc w:val="both"/>
            </w:pPr>
            <w:r w:rsidRPr="00B07E89">
              <w:t xml:space="preserve">where </w:t>
            </w:r>
            <w:r w:rsidRPr="00B07E89">
              <w:fldChar w:fldCharType="begin"/>
            </w:r>
            <w:r w:rsidRPr="00B07E89">
              <w:instrText xml:space="preserve"> QUOTE </w:instrText>
            </w:r>
            <m:oMath>
              <m:sSubSup>
                <m:sSubSupPr>
                  <m:ctrlPr>
                    <w:rPr>
                      <w:rFonts w:ascii="Cambria Math" w:eastAsia="Batang" w:hAnsi="Cambria Math" w:cs="Times New Roman"/>
                      <w:szCs w:val="24"/>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B07E89">
              <w:instrText xml:space="preserve"> </w:instrText>
            </w:r>
            <w:r w:rsidRPr="00B07E89">
              <w:fldChar w:fldCharType="separate"/>
            </w:r>
            <m:oMath>
              <m:sSubSup>
                <m:sSubSupPr>
                  <m:ctrlPr>
                    <w:rPr>
                      <w:rFonts w:ascii="Cambria Math" w:eastAsia="Batang" w:hAnsi="Cambria Math" w:cs="Times New Roman"/>
                      <w:szCs w:val="24"/>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B07E89">
              <w:fldChar w:fldCharType="end"/>
            </w:r>
            <w:r w:rsidRPr="00B07E89">
              <w:t xml:space="preserve"> is given by the resource configuration</w:t>
            </w:r>
          </w:p>
          <w:p w14:paraId="5DBCD439" w14:textId="77777777" w:rsidR="00313E82" w:rsidRPr="00B07E89" w:rsidRDefault="00313E82" w:rsidP="00CC54F4">
            <w:pPr>
              <w:pStyle w:val="BodyText"/>
              <w:spacing w:after="0"/>
              <w:jc w:val="both"/>
              <w:rPr>
                <w:lang w:eastAsia="x-none"/>
              </w:rPr>
            </w:pPr>
          </w:p>
          <w:p w14:paraId="4D3AAC62" w14:textId="77777777" w:rsidR="00313E82" w:rsidRPr="00B07E89" w:rsidRDefault="00313E82" w:rsidP="00CC54F4">
            <w:pPr>
              <w:pStyle w:val="BodyText"/>
              <w:spacing w:after="0"/>
              <w:jc w:val="both"/>
            </w:pPr>
            <w:r w:rsidRPr="00B07E89">
              <w:t>Regarding group WUS configuration for different gap durations (DRX, short eDRX and long eDRX), the following applies:</w:t>
            </w:r>
          </w:p>
          <w:p w14:paraId="5EF40DE8" w14:textId="6ABB849E" w:rsidR="00313E82" w:rsidRPr="00B07E89" w:rsidRDefault="00313E82" w:rsidP="00CC54F4">
            <w:pPr>
              <w:pStyle w:val="BodyText"/>
              <w:numPr>
                <w:ilvl w:val="0"/>
                <w:numId w:val="33"/>
              </w:numPr>
              <w:spacing w:after="0"/>
              <w:jc w:val="both"/>
            </w:pPr>
            <w:r w:rsidRPr="00B07E89">
              <w:lastRenderedPageBreak/>
              <w:t>If eDRX long gap is configured but no group WUS configuration for that gap is provided, the eDRX short gap configuration shall be used if configured, otherwise the DRX configuration shall be used.</w:t>
            </w:r>
          </w:p>
          <w:p w14:paraId="53C6631C" w14:textId="6618DEE6" w:rsidR="00313E82" w:rsidRPr="00B07E89" w:rsidRDefault="00313E82" w:rsidP="00CC54F4">
            <w:pPr>
              <w:pStyle w:val="BodyText"/>
              <w:numPr>
                <w:ilvl w:val="0"/>
                <w:numId w:val="33"/>
              </w:numPr>
              <w:spacing w:after="0"/>
              <w:jc w:val="both"/>
            </w:pPr>
            <w:r w:rsidRPr="00B07E89">
              <w:t>If eDRX short gap is configured but no group WUS configuration for that gap is provided, the DRX gap configuration shall be used.</w:t>
            </w:r>
          </w:p>
          <w:p w14:paraId="7CD4FD3D" w14:textId="77777777" w:rsidR="00313E82" w:rsidRPr="00B07E89" w:rsidRDefault="00313E82" w:rsidP="00CC54F4">
            <w:pPr>
              <w:pStyle w:val="BodyText"/>
              <w:spacing w:after="0"/>
              <w:jc w:val="both"/>
              <w:rPr>
                <w:lang w:eastAsia="x-none"/>
              </w:rPr>
            </w:pPr>
          </w:p>
          <w:p w14:paraId="6677AAB4" w14:textId="77777777" w:rsidR="00597D86" w:rsidRPr="00B07E89" w:rsidRDefault="00597D86" w:rsidP="00CC54F4">
            <w:pPr>
              <w:pStyle w:val="BodyText"/>
              <w:spacing w:after="0"/>
              <w:jc w:val="both"/>
            </w:pPr>
            <w:bookmarkStart w:id="6" w:name="_Toc22132171"/>
            <w:r w:rsidRPr="00B07E89">
              <w:t>Design pre-defined method to allow alternating UE group to monitor different WUS resources at different POs implicitly.</w:t>
            </w:r>
            <w:bookmarkEnd w:id="6"/>
          </w:p>
          <w:p w14:paraId="17DCAF62" w14:textId="77777777" w:rsidR="00597D86" w:rsidRPr="00B07E89" w:rsidRDefault="00597D86" w:rsidP="00CC54F4">
            <w:pPr>
              <w:pStyle w:val="BodyText"/>
              <w:numPr>
                <w:ilvl w:val="0"/>
                <w:numId w:val="33"/>
              </w:numPr>
              <w:spacing w:after="0"/>
              <w:jc w:val="both"/>
            </w:pPr>
            <w:bookmarkStart w:id="7" w:name="_Toc22132172"/>
            <w:r w:rsidRPr="00B07E89">
              <w:t>FFS: Consider both cell-specific DRX cycle and UE-specific DRX cycle.</w:t>
            </w:r>
            <w:bookmarkEnd w:id="7"/>
          </w:p>
          <w:p w14:paraId="0840FCF9" w14:textId="77777777" w:rsidR="00597D86" w:rsidRPr="00B07E89" w:rsidRDefault="00597D86" w:rsidP="00CC54F4">
            <w:pPr>
              <w:pStyle w:val="BodyText"/>
              <w:numPr>
                <w:ilvl w:val="0"/>
                <w:numId w:val="33"/>
              </w:numPr>
              <w:spacing w:after="0"/>
              <w:jc w:val="both"/>
            </w:pPr>
            <w:bookmarkStart w:id="8" w:name="_Toc22132173"/>
            <w:r w:rsidRPr="00B07E89">
              <w:t>At least the following parameters are used in the pre-defined method</w:t>
            </w:r>
            <w:bookmarkStart w:id="9" w:name="_Toc22132174"/>
            <w:bookmarkEnd w:id="8"/>
          </w:p>
          <w:p w14:paraId="4035A30A" w14:textId="77777777" w:rsidR="00597D86" w:rsidRPr="00B07E89" w:rsidRDefault="00597D86" w:rsidP="00CC54F4">
            <w:pPr>
              <w:pStyle w:val="BodyText"/>
              <w:numPr>
                <w:ilvl w:val="1"/>
                <w:numId w:val="33"/>
              </w:numPr>
              <w:spacing w:after="0"/>
              <w:jc w:val="both"/>
            </w:pPr>
            <w:r w:rsidRPr="00B07E89">
              <w:t>H_SFN of current PO</w:t>
            </w:r>
            <w:bookmarkStart w:id="10" w:name="_Toc22132175"/>
            <w:bookmarkEnd w:id="9"/>
          </w:p>
          <w:p w14:paraId="47D485D3" w14:textId="6731319A" w:rsidR="004C16DC" w:rsidRPr="00B07E89" w:rsidRDefault="00597D86" w:rsidP="00CC54F4">
            <w:pPr>
              <w:pStyle w:val="BodyText"/>
              <w:numPr>
                <w:ilvl w:val="1"/>
                <w:numId w:val="33"/>
              </w:numPr>
              <w:jc w:val="both"/>
            </w:pPr>
            <w:r w:rsidRPr="00B07E89">
              <w:t>DRX cycle</w:t>
            </w:r>
            <w:bookmarkEnd w:id="10"/>
          </w:p>
        </w:tc>
      </w:tr>
    </w:tbl>
    <w:p w14:paraId="38DE72DE" w14:textId="71197A49" w:rsidR="004C16DC" w:rsidRPr="00B07E89" w:rsidRDefault="00335864" w:rsidP="00CC54F4">
      <w:pPr>
        <w:pStyle w:val="BodyText"/>
        <w:spacing w:before="240"/>
        <w:jc w:val="both"/>
      </w:pPr>
      <w:r w:rsidRPr="00B07E89">
        <w:lastRenderedPageBreak/>
        <w:t xml:space="preserve">Below, </w:t>
      </w:r>
      <w:r w:rsidR="00D72B05" w:rsidRPr="00B07E89">
        <w:t>we further elaborate on our views on the physical layer design of the group WUS. A</w:t>
      </w:r>
      <w:r w:rsidR="007E1D58" w:rsidRPr="00B07E89">
        <w:t>n a</w:t>
      </w:r>
      <w:r w:rsidR="00D72B05" w:rsidRPr="00B07E89">
        <w:t>ccompanying paper present</w:t>
      </w:r>
      <w:r w:rsidR="007E1D58" w:rsidRPr="00B07E89">
        <w:t>s</w:t>
      </w:r>
      <w:r w:rsidR="00D72B05" w:rsidRPr="00B07E89">
        <w:t xml:space="preserve"> our higher layer views in </w:t>
      </w:r>
      <w:r w:rsidR="007E1D58" w:rsidRPr="00B07E89">
        <w:rPr>
          <w:highlight w:val="yellow"/>
        </w:rPr>
        <w:fldChar w:fldCharType="begin"/>
      </w:r>
      <w:r w:rsidR="007E1D58" w:rsidRPr="00B07E89">
        <w:instrText xml:space="preserve"> REF _Ref24107753 \r \h </w:instrText>
      </w:r>
      <w:r w:rsidR="00093726" w:rsidRPr="00B07E89">
        <w:rPr>
          <w:highlight w:val="yellow"/>
        </w:rPr>
        <w:instrText xml:space="preserve"> \* MERGEFORMAT </w:instrText>
      </w:r>
      <w:r w:rsidR="007E1D58" w:rsidRPr="00B07E89">
        <w:rPr>
          <w:highlight w:val="yellow"/>
        </w:rPr>
      </w:r>
      <w:r w:rsidR="007E1D58" w:rsidRPr="00B07E89">
        <w:rPr>
          <w:highlight w:val="yellow"/>
        </w:rPr>
        <w:fldChar w:fldCharType="separate"/>
      </w:r>
      <w:r w:rsidR="00DD01EB">
        <w:t>[3]</w:t>
      </w:r>
      <w:r w:rsidR="007E1D58" w:rsidRPr="00B07E89">
        <w:rPr>
          <w:highlight w:val="yellow"/>
        </w:rPr>
        <w:fldChar w:fldCharType="end"/>
      </w:r>
      <w:r w:rsidR="00D72B05" w:rsidRPr="00B07E89">
        <w:t>.</w:t>
      </w:r>
    </w:p>
    <w:p w14:paraId="6E1037A2" w14:textId="77777777" w:rsidR="004000E8" w:rsidRPr="00B07E89" w:rsidRDefault="004000E8" w:rsidP="00CC54F4">
      <w:pPr>
        <w:pStyle w:val="Heading1"/>
        <w:jc w:val="both"/>
        <w:rPr>
          <w:lang w:val="en-US"/>
        </w:rPr>
      </w:pPr>
      <w:bookmarkStart w:id="11" w:name="_Ref178064866"/>
      <w:r w:rsidRPr="00B07E89">
        <w:rPr>
          <w:lang w:val="en-US"/>
        </w:rPr>
        <w:t>Discussion</w:t>
      </w:r>
      <w:bookmarkEnd w:id="11"/>
    </w:p>
    <w:p w14:paraId="743CD5C8" w14:textId="27865884" w:rsidR="00F874DD" w:rsidRPr="00B07E89" w:rsidRDefault="006B6127" w:rsidP="00CC54F4">
      <w:pPr>
        <w:pStyle w:val="Heading2"/>
        <w:jc w:val="both"/>
        <w:rPr>
          <w:lang w:val="en-US"/>
        </w:rPr>
      </w:pPr>
      <w:r w:rsidRPr="00B07E89">
        <w:rPr>
          <w:lang w:val="en-US"/>
        </w:rPr>
        <w:t>WUS resource alternation</w:t>
      </w:r>
    </w:p>
    <w:p w14:paraId="67FE9452" w14:textId="12B51935" w:rsidR="006C474C" w:rsidRPr="00B07E89" w:rsidRDefault="006C474C" w:rsidP="00CC54F4">
      <w:pPr>
        <w:jc w:val="both"/>
        <w:rPr>
          <w:lang w:eastAsia="ja-JP"/>
        </w:rPr>
      </w:pPr>
      <w:bookmarkStart w:id="12" w:name="_Hlk24110569"/>
      <w:r w:rsidRPr="00B07E89">
        <w:rPr>
          <w:lang w:eastAsia="ja-JP"/>
        </w:rPr>
        <w:t xml:space="preserve">Resource alternation was introduced </w:t>
      </w:r>
      <w:proofErr w:type="gramStart"/>
      <w:r w:rsidRPr="00B07E89">
        <w:rPr>
          <w:lang w:eastAsia="ja-JP"/>
        </w:rPr>
        <w:t>as a means to</w:t>
      </w:r>
      <w:proofErr w:type="gramEnd"/>
      <w:r w:rsidRPr="00B07E89">
        <w:rPr>
          <w:lang w:eastAsia="ja-JP"/>
        </w:rPr>
        <w:t xml:space="preserve"> reduce the </w:t>
      </w:r>
      <w:r w:rsidR="00DE4E13" w:rsidRPr="00B07E89">
        <w:rPr>
          <w:lang w:eastAsia="ja-JP"/>
        </w:rPr>
        <w:t>increased false wake ups for group WUS UEs sharing a resource with legacy WUS UEs.</w:t>
      </w:r>
      <w:r w:rsidR="00432E58" w:rsidRPr="00B07E89">
        <w:rPr>
          <w:lang w:eastAsia="ja-JP"/>
        </w:rPr>
        <w:t xml:space="preserve"> A previous agreement states that</w:t>
      </w:r>
      <w:r w:rsidR="00B6138A" w:rsidRPr="00B07E89">
        <w:rPr>
          <w:lang w:eastAsia="ja-JP"/>
        </w:rPr>
        <w:t xml:space="preserve"> alter</w:t>
      </w:r>
      <w:r w:rsidR="00B348E0" w:rsidRPr="00B07E89">
        <w:rPr>
          <w:lang w:eastAsia="ja-JP"/>
        </w:rPr>
        <w:t>na</w:t>
      </w:r>
      <w:r w:rsidR="00B6138A" w:rsidRPr="00B07E89">
        <w:rPr>
          <w:lang w:eastAsia="ja-JP"/>
        </w:rPr>
        <w:t>tion should be allowed implicitly</w:t>
      </w:r>
      <w:r w:rsidR="00B348E0" w:rsidRPr="00B07E89">
        <w:rPr>
          <w:lang w:eastAsia="ja-JP"/>
        </w:rPr>
        <w:t xml:space="preserve"> which is a bit unclear. Furt</w:t>
      </w:r>
      <w:r w:rsidR="00F272EA" w:rsidRPr="00B07E89">
        <w:rPr>
          <w:lang w:eastAsia="ja-JP"/>
        </w:rPr>
        <w:t>h</w:t>
      </w:r>
      <w:r w:rsidR="00B348E0" w:rsidRPr="00B07E89">
        <w:rPr>
          <w:lang w:eastAsia="ja-JP"/>
        </w:rPr>
        <w:t>ermore</w:t>
      </w:r>
      <w:r w:rsidR="00432E58" w:rsidRPr="00B07E89">
        <w:rPr>
          <w:lang w:eastAsia="ja-JP"/>
        </w:rPr>
        <w:t>, b</w:t>
      </w:r>
      <w:r w:rsidR="00390764" w:rsidRPr="00B07E89">
        <w:rPr>
          <w:lang w:eastAsia="ja-JP"/>
        </w:rPr>
        <w:t xml:space="preserve">ased on earlier contributions, </w:t>
      </w:r>
      <w:proofErr w:type="gramStart"/>
      <w:r w:rsidR="00390764" w:rsidRPr="00B07E89">
        <w:rPr>
          <w:lang w:eastAsia="ja-JP"/>
        </w:rPr>
        <w:t>it is clear that the</w:t>
      </w:r>
      <w:proofErr w:type="gramEnd"/>
      <w:r w:rsidR="00390764" w:rsidRPr="00B07E89">
        <w:rPr>
          <w:lang w:eastAsia="ja-JP"/>
        </w:rPr>
        <w:t xml:space="preserve"> view of </w:t>
      </w:r>
      <w:r w:rsidR="00D9127D" w:rsidRPr="00B07E89">
        <w:rPr>
          <w:lang w:eastAsia="ja-JP"/>
        </w:rPr>
        <w:t xml:space="preserve">the purpose with alternation differs among different companies. </w:t>
      </w:r>
      <w:r w:rsidR="00432E58" w:rsidRPr="00B07E89">
        <w:rPr>
          <w:lang w:eastAsia="ja-JP"/>
        </w:rPr>
        <w:t xml:space="preserve">Hence, </w:t>
      </w:r>
      <w:r w:rsidR="008E6B7F" w:rsidRPr="00B07E89">
        <w:rPr>
          <w:lang w:eastAsia="ja-JP"/>
        </w:rPr>
        <w:t xml:space="preserve">an </w:t>
      </w:r>
      <w:r w:rsidR="00432E58" w:rsidRPr="00B07E89">
        <w:rPr>
          <w:lang w:eastAsia="ja-JP"/>
        </w:rPr>
        <w:t xml:space="preserve">implicit </w:t>
      </w:r>
      <w:r w:rsidR="00964803" w:rsidRPr="00B07E89">
        <w:rPr>
          <w:lang w:eastAsia="ja-JP"/>
        </w:rPr>
        <w:t xml:space="preserve">alternation condition may be difficult. </w:t>
      </w:r>
      <w:r w:rsidR="00D9127D" w:rsidRPr="00B07E89">
        <w:rPr>
          <w:lang w:eastAsia="ja-JP"/>
        </w:rPr>
        <w:t>For that reason, and</w:t>
      </w:r>
      <w:r w:rsidR="009C5F75" w:rsidRPr="00B07E89">
        <w:rPr>
          <w:lang w:eastAsia="ja-JP"/>
        </w:rPr>
        <w:t xml:space="preserve"> to allow for network flexibility, a specific alternation indicator may be preferable to an ill-suited implicit alternation rule.</w:t>
      </w:r>
    </w:p>
    <w:p w14:paraId="1B0F4978" w14:textId="31C0EDB1" w:rsidR="00977276" w:rsidRPr="00B07E89" w:rsidRDefault="009C5F75" w:rsidP="00CC54F4">
      <w:pPr>
        <w:pStyle w:val="Observation"/>
        <w:ind w:left="1701" w:hanging="1701"/>
        <w:jc w:val="both"/>
      </w:pPr>
      <w:bookmarkStart w:id="13" w:name="_Toc24121119"/>
      <w:r w:rsidRPr="00B07E89">
        <w:t>Explicit enabling of resource alter</w:t>
      </w:r>
      <w:r w:rsidR="00977276" w:rsidRPr="00B07E89">
        <w:t>nation may be preferable to an ill-suited implicit alternation rule.</w:t>
      </w:r>
      <w:bookmarkEnd w:id="13"/>
    </w:p>
    <w:p w14:paraId="5684D7C7" w14:textId="0A272C20" w:rsidR="00AB793E" w:rsidRPr="00B07E89" w:rsidRDefault="00432E58" w:rsidP="00CC54F4">
      <w:pPr>
        <w:pStyle w:val="Proposal"/>
        <w:jc w:val="both"/>
      </w:pPr>
      <w:bookmarkStart w:id="14" w:name="_Toc21106669"/>
      <w:bookmarkStart w:id="15" w:name="_Toc24121121"/>
      <w:r w:rsidRPr="00B07E89">
        <w:t>Explicitly i</w:t>
      </w:r>
      <w:r w:rsidR="00D9127D" w:rsidRPr="00B07E89">
        <w:t xml:space="preserve">ndicate </w:t>
      </w:r>
      <w:r w:rsidRPr="00B07E89">
        <w:t xml:space="preserve">in SI </w:t>
      </w:r>
      <w:r w:rsidR="00D9127D" w:rsidRPr="00B07E89">
        <w:t xml:space="preserve">if alternation is </w:t>
      </w:r>
      <w:r w:rsidR="008E6B7F" w:rsidRPr="00B07E89">
        <w:t>enabled</w:t>
      </w:r>
      <w:r w:rsidR="00D9127D" w:rsidRPr="00B07E89">
        <w:t xml:space="preserve"> </w:t>
      </w:r>
      <w:r w:rsidRPr="00B07E89">
        <w:t>or not</w:t>
      </w:r>
      <w:bookmarkEnd w:id="14"/>
      <w:r w:rsidRPr="00B07E89">
        <w:t>.</w:t>
      </w:r>
      <w:bookmarkEnd w:id="12"/>
      <w:bookmarkEnd w:id="15"/>
    </w:p>
    <w:p w14:paraId="00024157" w14:textId="4A6C5DCE" w:rsidR="000B221C" w:rsidRPr="00B07E89" w:rsidRDefault="00F80636" w:rsidP="00CC54F4">
      <w:pPr>
        <w:pStyle w:val="BodyText"/>
        <w:jc w:val="both"/>
      </w:pPr>
      <w:r w:rsidRPr="00B07E89">
        <w:t>In determining what alternation scheme to specify, it is worth noting that the service-based grouping will benefit from allocating the same or similar services to the same resource. In doing that, less frequent</w:t>
      </w:r>
      <w:r w:rsidR="00AA305C" w:rsidRPr="00B07E89">
        <w:t>ly paged</w:t>
      </w:r>
      <w:r w:rsidRPr="00B07E89">
        <w:t xml:space="preserve"> service classes may avoid being </w:t>
      </w:r>
      <w:r w:rsidR="00AA305C" w:rsidRPr="00B07E89">
        <w:t xml:space="preserve">affected by more frequently paged ones. This leads us to the conclusion that </w:t>
      </w:r>
      <w:r w:rsidR="00F4200C" w:rsidRPr="00B07E89">
        <w:t xml:space="preserve">the </w:t>
      </w:r>
      <w:r w:rsidR="00AA305C" w:rsidRPr="00B07E89">
        <w:t xml:space="preserve">alternation </w:t>
      </w:r>
      <w:r w:rsidR="00F4200C" w:rsidRPr="00B07E89">
        <w:t xml:space="preserve">scheme </w:t>
      </w:r>
      <w:r w:rsidR="00AA305C" w:rsidRPr="00B07E89">
        <w:t xml:space="preserve">should </w:t>
      </w:r>
      <w:r w:rsidR="00F4200C" w:rsidRPr="00B07E89">
        <w:t>be based on WUS resources and not individual UE groups.</w:t>
      </w:r>
    </w:p>
    <w:p w14:paraId="1A60F837" w14:textId="77777777" w:rsidR="00AB793E" w:rsidRPr="00B07E89" w:rsidRDefault="00AB793E" w:rsidP="00CC54F4">
      <w:pPr>
        <w:pStyle w:val="Observation"/>
        <w:ind w:left="1701" w:hanging="1701"/>
        <w:jc w:val="both"/>
      </w:pPr>
      <w:bookmarkStart w:id="16" w:name="_Toc21106649"/>
      <w:bookmarkStart w:id="17" w:name="_Toc24121120"/>
      <w:r w:rsidRPr="00B07E89">
        <w:t>Alternating individual UE groups instead of all groups in a WUS resource will affect performance of service-based grouping.</w:t>
      </w:r>
      <w:bookmarkEnd w:id="16"/>
      <w:bookmarkEnd w:id="17"/>
    </w:p>
    <w:p w14:paraId="151F087C" w14:textId="74F64BEB" w:rsidR="00AB793E" w:rsidRPr="00B07E89" w:rsidRDefault="00AB793E" w:rsidP="00CC54F4">
      <w:pPr>
        <w:pStyle w:val="Proposal"/>
        <w:jc w:val="both"/>
      </w:pPr>
      <w:bookmarkStart w:id="18" w:name="_Toc21106670"/>
      <w:bookmarkStart w:id="19" w:name="_Toc24121122"/>
      <w:r w:rsidRPr="00B07E89">
        <w:t>UE groups in a resource share alternation pattern.</w:t>
      </w:r>
      <w:bookmarkEnd w:id="18"/>
      <w:bookmarkEnd w:id="19"/>
    </w:p>
    <w:p w14:paraId="127DC375" w14:textId="43B92905" w:rsidR="001D75CD" w:rsidRPr="00B07E89" w:rsidRDefault="00AB793E" w:rsidP="00CC54F4">
      <w:pPr>
        <w:pStyle w:val="BodyText"/>
        <w:jc w:val="both"/>
      </w:pPr>
      <w:r w:rsidRPr="00B07E89">
        <w:t>A detailed alternation scheme should consider different possible DRX cycle durations, particularly avoid a scheme where the DRX cycle is an even multiple of the alternation period such that alternation is effectively prohibited. However, this is not the responsibility of RAN1, why we refer such specification to RAN2 and suffice with reprinting our RAN2 contribution in the matter below</w:t>
      </w:r>
      <w:r w:rsidR="00E32575" w:rsidRPr="00B07E89">
        <w:t xml:space="preserve">. Furthermore, in RAN1 #98bis, it was agreed that both cell specific and UE specific DRX cycle durations should be considered when defining the alternation scheme. </w:t>
      </w:r>
      <w:r w:rsidR="001057ED" w:rsidRPr="00B07E89">
        <w:t xml:space="preserve">UE specific DRX cycles </w:t>
      </w:r>
      <w:r w:rsidR="003C4319" w:rsidRPr="00B07E89">
        <w:t xml:space="preserve">may be shorter than the cell specific DRX cycle. Taking both cell specific and UE specific DRX cycles into account </w:t>
      </w:r>
      <w:r w:rsidR="00E32575" w:rsidRPr="00B07E89">
        <w:t xml:space="preserve">may be </w:t>
      </w:r>
      <w:r w:rsidR="003C4319" w:rsidRPr="00B07E89">
        <w:t>done</w:t>
      </w:r>
      <w:r w:rsidR="00E32575" w:rsidRPr="00B07E89">
        <w:t xml:space="preserve"> by using a sufficiently long alternation </w:t>
      </w:r>
      <w:r w:rsidR="003C4319" w:rsidRPr="00B07E89">
        <w:t>period</w:t>
      </w:r>
      <w:r w:rsidR="00E32575" w:rsidRPr="00B07E89">
        <w:t xml:space="preserve"> such that </w:t>
      </w:r>
      <w:r w:rsidR="002E4591" w:rsidRPr="00B07E89">
        <w:t>neither cell nor UE specific DRX cycles risk having a pattern not covering all configured resources.</w:t>
      </w:r>
      <w:r w:rsidR="00753E1C" w:rsidRPr="00B07E89">
        <w:t xml:space="preserve"> On the other hand, a too long alternation period may result in </w:t>
      </w:r>
      <w:r w:rsidR="0089184D" w:rsidRPr="00B07E89">
        <w:t xml:space="preserve">a noticeably uneven distribution from, e.g., </w:t>
      </w:r>
      <w:r w:rsidR="00447426" w:rsidRPr="00B07E89">
        <w:lastRenderedPageBreak/>
        <w:t>eDRX periods with a same frequency as the alternation pattern.</w:t>
      </w:r>
      <w:r w:rsidR="00393873" w:rsidRPr="00B07E89">
        <w:t xml:space="preserve"> </w:t>
      </w:r>
      <w:bookmarkStart w:id="20" w:name="_Hlk24110665"/>
      <w:r w:rsidR="00393873" w:rsidRPr="00B07E89">
        <w:t>D</w:t>
      </w:r>
      <w:r w:rsidR="001D75CD" w:rsidRPr="00B07E89">
        <w:t xml:space="preserve">ifferentiating the WUS resource configuration index from the WUS resource index for WUS UE group selection this could be solved by something </w:t>
      </w:r>
      <w:proofErr w:type="gramStart"/>
      <w:r w:rsidR="001D75CD" w:rsidRPr="00B07E89">
        <w:t>similar to</w:t>
      </w:r>
      <w:proofErr w:type="gramEnd"/>
      <w:r w:rsidR="001D75CD" w:rsidRPr="00B07E89">
        <w:t xml:space="preserve"> the following:</w:t>
      </w:r>
    </w:p>
    <w:p w14:paraId="4AD7626F" w14:textId="5121373E" w:rsidR="00E47C27" w:rsidRPr="00B07E89" w:rsidRDefault="00EE4447" w:rsidP="00CC54F4">
      <w:pPr>
        <w:pStyle w:val="BodyText"/>
        <w:jc w:val="both"/>
        <w:rPr>
          <w:rFonts w:ascii="Times New Roman" w:hAnsi="Times New Roman"/>
        </w:rPr>
      </w:pPr>
      <m:oMathPara>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resource</m:t>
              </m:r>
            </m:sup>
          </m:sSubSup>
          <m:r>
            <m:rPr>
              <m:sty m:val="p"/>
            </m:rPr>
            <w:rPr>
              <w:rFonts w:ascii="Cambria Math" w:hAnsi="Cambria Math"/>
            </w:rPr>
            <m:t>(HSFN, SFN)=</m:t>
          </m:r>
          <m:d>
            <m:dPr>
              <m:ctrlPr>
                <w:rPr>
                  <w:rFonts w:ascii="Cambria Math" w:hAnsi="Cambria Math"/>
                </w:rPr>
              </m:ctrlPr>
            </m:dP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resource</m:t>
                  </m:r>
                </m:sup>
              </m:sSubSup>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1024</m:t>
                      </m:r>
                      <m:r>
                        <w:rPr>
                          <w:rFonts w:ascii="Cambria Math" w:hAnsi="Cambria Math" w:cs="Times New Roman"/>
                        </w:rPr>
                        <m:t>×</m:t>
                      </m:r>
                      <m:r>
                        <m:rPr>
                          <m:nor/>
                        </m:rPr>
                        <w:rPr>
                          <w:rFonts w:ascii="Cambria Math" w:hAnsi="Cambria Math"/>
                        </w:rPr>
                        <m:t>HSFN</m:t>
                      </m:r>
                      <m:r>
                        <w:rPr>
                          <w:rFonts w:ascii="Cambria Math" w:hAnsi="Cambria Math"/>
                        </w:rPr>
                        <m:t>+</m:t>
                      </m:r>
                      <m:r>
                        <m:rPr>
                          <m:nor/>
                        </m:rPr>
                        <w:rPr>
                          <w:rFonts w:ascii="Cambria Math" w:hAnsi="Cambria Math"/>
                        </w:rPr>
                        <m:t>SFN</m:t>
                      </m:r>
                    </m:num>
                    <m:den>
                      <m:r>
                        <w:rPr>
                          <w:rFonts w:ascii="Cambria Math" w:hAnsi="Cambria Math"/>
                        </w:rPr>
                        <m:t>T</m:t>
                      </m:r>
                    </m:den>
                  </m:f>
                </m:e>
              </m:d>
            </m:e>
          </m:d>
          <m:r>
            <m:rPr>
              <m:nor/>
            </m:rPr>
            <w:rPr>
              <w:rFonts w:ascii="Cambria Math" w:hAnsi="Cambria Math"/>
              <w:iCs/>
            </w:rPr>
            <m:t xml:space="preserve">mod </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iCs/>
                </w:rPr>
                <m:t>max</m:t>
              </m:r>
              <m:ctrlPr>
                <w:rPr>
                  <w:rFonts w:ascii="Cambria Math" w:hAnsi="Cambria Math"/>
                  <w:i/>
                  <w:iCs/>
                </w:rPr>
              </m:ctrlPr>
            </m:sub>
            <m:sup>
              <m:r>
                <m:rPr>
                  <m:sty m:val="p"/>
                </m:rPr>
                <w:rPr>
                  <w:rFonts w:ascii="Cambria Math" w:hAnsi="Cambria Math"/>
                </w:rPr>
                <m:t>resource</m:t>
              </m:r>
            </m:sup>
          </m:sSubSup>
          <m:r>
            <m:rPr>
              <m:sty m:val="p"/>
            </m:rPr>
            <w:rPr>
              <w:rFonts w:ascii="Cambria Math" w:hAnsi="Cambria Math"/>
            </w:rPr>
            <m:t>)</m:t>
          </m:r>
        </m:oMath>
      </m:oMathPara>
    </w:p>
    <w:p w14:paraId="005B4212" w14:textId="77777777" w:rsidR="00DD01EB" w:rsidRDefault="00D52189" w:rsidP="00CC54F4">
      <w:pPr>
        <w:pStyle w:val="BodyText"/>
        <w:jc w:val="both"/>
      </w:pPr>
      <w:r w:rsidRPr="00B07E89">
        <w:t xml:space="preserve">where </w:t>
      </w:r>
      <w:proofErr w:type="spellStart"/>
      <w:r w:rsidRPr="00B07E89">
        <w:t>N</w:t>
      </w:r>
      <w:r w:rsidRPr="00B07E89">
        <w:rPr>
          <w:vertAlign w:val="subscript"/>
        </w:rPr>
        <w:t>ID</w:t>
      </w:r>
      <w:r w:rsidRPr="00B07E89">
        <w:rPr>
          <w:vertAlign w:val="superscript"/>
        </w:rPr>
        <w:t>resource</w:t>
      </w:r>
      <w:proofErr w:type="spellEnd"/>
      <w:r w:rsidRPr="00B07E89">
        <w:t xml:space="preserve"> (HSFN, SFN) is the index of the WUS resource used for WUS UE group selection for the given HSFN, </w:t>
      </w:r>
      <w:proofErr w:type="spellStart"/>
      <w:r w:rsidRPr="00B07E89">
        <w:t>N</w:t>
      </w:r>
      <w:r w:rsidRPr="00B07E89">
        <w:rPr>
          <w:vertAlign w:val="subscript"/>
        </w:rPr>
        <w:t>ID</w:t>
      </w:r>
      <w:r w:rsidRPr="00B07E89">
        <w:rPr>
          <w:vertAlign w:val="superscript"/>
        </w:rPr>
        <w:t>resource</w:t>
      </w:r>
      <w:proofErr w:type="spellEnd"/>
      <w:r w:rsidRPr="00B07E89">
        <w:rPr>
          <w:rFonts w:eastAsiaTheme="minorEastAsia"/>
          <w:lang w:eastAsia="ja-JP"/>
        </w:rPr>
        <w:t xml:space="preserve"> is </w:t>
      </w:r>
      <w:r w:rsidRPr="00B07E89">
        <w:t xml:space="preserve">the WUS resource index used in for the non-alternating configuration, </w:t>
      </w:r>
      <m:oMath>
        <m:r>
          <w:rPr>
            <w:rFonts w:ascii="Cambria Math" w:hAnsi="Cambria Math"/>
          </w:rPr>
          <m:t>T</m:t>
        </m:r>
      </m:oMath>
      <w:r w:rsidRPr="00B07E89">
        <w:t xml:space="preserve"> is the DRX cycle length in frames, and </w:t>
      </w:r>
      <w:proofErr w:type="spellStart"/>
      <w:r w:rsidRPr="00B07E89">
        <w:t>N</w:t>
      </w:r>
      <w:r w:rsidRPr="00B07E89">
        <w:rPr>
          <w:vertAlign w:val="subscript"/>
        </w:rPr>
        <w:t>max</w:t>
      </w:r>
      <w:r w:rsidRPr="00B07E89">
        <w:rPr>
          <w:vertAlign w:val="superscript"/>
        </w:rPr>
        <w:t>resource</w:t>
      </w:r>
      <w:proofErr w:type="spellEnd"/>
      <w:r w:rsidRPr="00B07E89">
        <w:rPr>
          <w:rFonts w:eastAsiaTheme="minorEastAsia"/>
        </w:rPr>
        <w:t xml:space="preserve"> is</w:t>
      </w:r>
      <w:r w:rsidRPr="00B07E89">
        <w:t xml:space="preserve"> the number of WUS resources configured for Rel-16 group WUS. That is, the WUS resource index used for WUS UE group selection will rotate with the number of DRX wake up in the HSFN period.</w:t>
      </w:r>
      <w:bookmarkStart w:id="21" w:name="_Toc24048636"/>
    </w:p>
    <w:p w14:paraId="6BFEDDC9" w14:textId="46929497" w:rsidR="001D75CD" w:rsidRPr="00B07E89" w:rsidRDefault="00AF75DE" w:rsidP="00CC54F4">
      <w:pPr>
        <w:pStyle w:val="Proposal"/>
        <w:jc w:val="both"/>
      </w:pPr>
      <w:bookmarkStart w:id="22" w:name="_Toc24121123"/>
      <w:r w:rsidRPr="00B07E89">
        <w:t>WUS resource alternation is performed according to</w:t>
      </w:r>
      <w:r w:rsidR="001D75CD" w:rsidRPr="00B07E89">
        <w:t>:</w:t>
      </w:r>
      <w:bookmarkEnd w:id="21"/>
      <w:bookmarkEnd w:id="22"/>
    </w:p>
    <w:bookmarkStart w:id="23" w:name="_Toc24110779"/>
    <w:bookmarkStart w:id="24" w:name="_Toc24121124"/>
    <w:p w14:paraId="7AFBAF5A" w14:textId="2449D8D5" w:rsidR="00FB42DA" w:rsidRPr="00B07E89" w:rsidRDefault="00EE4447" w:rsidP="00CC54F4">
      <w:pPr>
        <w:pStyle w:val="Proposal"/>
        <w:numPr>
          <w:ilvl w:val="0"/>
          <w:numId w:val="0"/>
        </w:numPr>
        <w:ind w:left="1304"/>
        <w:jc w:val="both"/>
        <w:rPr>
          <w:rFonts w:ascii="Times New Roman" w:hAnsi="Times New Roman"/>
          <w:b w:val="0"/>
        </w:rPr>
      </w:pPr>
      <m:oMathPara>
        <m:oMath>
          <m:sSubSup>
            <m:sSubSupPr>
              <m:ctrlPr>
                <w:rPr>
                  <w:rFonts w:ascii="Cambria Math" w:hAnsi="Cambria Math"/>
                  <w:b w:val="0"/>
                  <w:i/>
                  <w:lang w:eastAsia="ja-JP"/>
                </w:rPr>
              </m:ctrlPr>
            </m:sSubSupPr>
            <m:e>
              <m:r>
                <m:rPr>
                  <m:sty m:val="bi"/>
                </m:rPr>
                <w:rPr>
                  <w:rFonts w:ascii="Cambria Math" w:hAnsi="Cambria Math"/>
                  <w:lang w:eastAsia="ja-JP"/>
                </w:rPr>
                <m:t>N</m:t>
              </m:r>
            </m:e>
            <m:sub>
              <m:r>
                <m:rPr>
                  <m:nor/>
                </m:rPr>
                <w:rPr>
                  <w:rFonts w:ascii="Cambria Math" w:hAnsi="Cambria Math"/>
                  <w:b w:val="0"/>
                  <w:lang w:eastAsia="ja-JP"/>
                </w:rPr>
                <m:t>ID</m:t>
              </m:r>
              <m:ctrlPr>
                <w:rPr>
                  <w:rFonts w:ascii="Cambria Math" w:hAnsi="Cambria Math"/>
                  <w:b w:val="0"/>
                  <w:lang w:eastAsia="ja-JP"/>
                </w:rPr>
              </m:ctrlPr>
            </m:sub>
            <m:sup>
              <m:r>
                <m:rPr>
                  <m:nor/>
                </m:rPr>
                <w:rPr>
                  <w:rFonts w:ascii="Cambria Math" w:hAnsi="Cambria Math"/>
                  <w:b w:val="0"/>
                  <w:lang w:eastAsia="ja-JP"/>
                </w:rPr>
                <m:t>resource</m:t>
              </m:r>
            </m:sup>
          </m:sSubSup>
          <m:r>
            <m:rPr>
              <m:sty m:val="b"/>
            </m:rPr>
            <w:rPr>
              <w:rFonts w:ascii="Cambria Math" w:hAnsi="Cambria Math"/>
            </w:rPr>
            <m:t>(HSFN, SFN)=</m:t>
          </m:r>
          <m:d>
            <m:dPr>
              <m:ctrlPr>
                <w:rPr>
                  <w:rFonts w:ascii="Cambria Math" w:hAnsi="Cambria Math"/>
                  <w:b w:val="0"/>
                </w:rPr>
              </m:ctrlPr>
            </m:dPr>
            <m:e>
              <m:sSubSup>
                <m:sSubSupPr>
                  <m:ctrlPr>
                    <w:rPr>
                      <w:rFonts w:ascii="Cambria Math" w:hAnsi="Cambria Math"/>
                      <w:b w:val="0"/>
                      <w:i/>
                      <w:lang w:eastAsia="ja-JP"/>
                    </w:rPr>
                  </m:ctrlPr>
                </m:sSubSupPr>
                <m:e>
                  <m:r>
                    <m:rPr>
                      <m:sty m:val="bi"/>
                    </m:rPr>
                    <w:rPr>
                      <w:rFonts w:ascii="Cambria Math" w:hAnsi="Cambria Math"/>
                      <w:lang w:eastAsia="ja-JP"/>
                    </w:rPr>
                    <m:t>N</m:t>
                  </m:r>
                </m:e>
                <m:sub>
                  <m:r>
                    <m:rPr>
                      <m:nor/>
                    </m:rPr>
                    <w:rPr>
                      <w:rFonts w:ascii="Cambria Math" w:hAnsi="Cambria Math"/>
                      <w:b w:val="0"/>
                      <w:lang w:eastAsia="ja-JP"/>
                    </w:rPr>
                    <m:t>ID</m:t>
                  </m:r>
                  <m:ctrlPr>
                    <w:rPr>
                      <w:rFonts w:ascii="Cambria Math" w:hAnsi="Cambria Math"/>
                      <w:b w:val="0"/>
                      <w:lang w:eastAsia="ja-JP"/>
                    </w:rPr>
                  </m:ctrlPr>
                </m:sub>
                <m:sup>
                  <m:r>
                    <m:rPr>
                      <m:nor/>
                    </m:rPr>
                    <w:rPr>
                      <w:rFonts w:ascii="Cambria Math" w:hAnsi="Cambria Math"/>
                      <w:b w:val="0"/>
                      <w:lang w:eastAsia="ja-JP"/>
                    </w:rPr>
                    <m:t>resource</m:t>
                  </m:r>
                </m:sup>
              </m:sSubSup>
              <m:r>
                <m:rPr>
                  <m:sty m:val="b"/>
                </m:rPr>
                <w:rPr>
                  <w:rFonts w:ascii="Cambria Math" w:hAnsi="Cambria Math"/>
                </w:rPr>
                <m:t>+</m:t>
              </m:r>
              <m:d>
                <m:dPr>
                  <m:begChr m:val="⌊"/>
                  <m:endChr m:val="⌋"/>
                  <m:ctrlPr>
                    <w:rPr>
                      <w:rFonts w:ascii="Cambria Math" w:hAnsi="Cambria Math"/>
                      <w:b w:val="0"/>
                    </w:rPr>
                  </m:ctrlPr>
                </m:dPr>
                <m:e>
                  <m:f>
                    <m:fPr>
                      <m:ctrlPr>
                        <w:rPr>
                          <w:rFonts w:ascii="Cambria Math" w:hAnsi="Cambria Math"/>
                          <w:b w:val="0"/>
                        </w:rPr>
                      </m:ctrlPr>
                    </m:fPr>
                    <m:num>
                      <m:r>
                        <m:rPr>
                          <m:sty m:val="bi"/>
                        </m:rPr>
                        <w:rPr>
                          <w:rFonts w:ascii="Cambria Math" w:hAnsi="Cambria Math"/>
                        </w:rPr>
                        <m:t>1024</m:t>
                      </m:r>
                      <m:r>
                        <m:rPr>
                          <m:sty m:val="bi"/>
                        </m:rPr>
                        <w:rPr>
                          <w:rFonts w:ascii="Cambria Math" w:hAnsi="Cambria Math" w:cs="Times New Roman"/>
                        </w:rPr>
                        <m:t>×</m:t>
                      </m:r>
                      <m:r>
                        <m:rPr>
                          <m:nor/>
                        </m:rPr>
                        <w:rPr>
                          <w:rFonts w:ascii="Cambria Math" w:hAnsi="Cambria Math"/>
                          <w:b w:val="0"/>
                        </w:rPr>
                        <m:t>HSFN</m:t>
                      </m:r>
                      <m:r>
                        <m:rPr>
                          <m:sty m:val="bi"/>
                        </m:rPr>
                        <w:rPr>
                          <w:rFonts w:ascii="Cambria Math" w:hAnsi="Cambria Math"/>
                        </w:rPr>
                        <m:t>+</m:t>
                      </m:r>
                      <m:r>
                        <m:rPr>
                          <m:nor/>
                        </m:rPr>
                        <w:rPr>
                          <w:rFonts w:ascii="Cambria Math" w:hAnsi="Cambria Math"/>
                          <w:b w:val="0"/>
                        </w:rPr>
                        <m:t>SFN</m:t>
                      </m:r>
                    </m:num>
                    <m:den>
                      <m:r>
                        <m:rPr>
                          <m:sty m:val="bi"/>
                        </m:rPr>
                        <w:rPr>
                          <w:rFonts w:ascii="Cambria Math" w:hAnsi="Cambria Math"/>
                        </w:rPr>
                        <m:t>T</m:t>
                      </m:r>
                    </m:den>
                  </m:f>
                </m:e>
              </m:d>
            </m:e>
          </m:d>
          <m:r>
            <m:rPr>
              <m:nor/>
            </m:rPr>
            <w:rPr>
              <w:rFonts w:ascii="Cambria Math" w:hAnsi="Cambria Math"/>
              <w:b w:val="0"/>
              <w:iCs/>
            </w:rPr>
            <m:t xml:space="preserve">mod </m:t>
          </m:r>
          <m:r>
            <m:rPr>
              <m:sty m:val="b"/>
            </m:rPr>
            <w:rPr>
              <w:rFonts w:ascii="Cambria Math" w:hAnsi="Cambria Math"/>
            </w:rPr>
            <m:t>(</m:t>
          </m:r>
          <m:sSubSup>
            <m:sSubSupPr>
              <m:ctrlPr>
                <w:rPr>
                  <w:rFonts w:ascii="Cambria Math" w:hAnsi="Cambria Math"/>
                  <w:b w:val="0"/>
                </w:rPr>
              </m:ctrlPr>
            </m:sSubSupPr>
            <m:e>
              <m:r>
                <m:rPr>
                  <m:sty m:val="bi"/>
                </m:rPr>
                <w:rPr>
                  <w:rFonts w:ascii="Cambria Math" w:hAnsi="Cambria Math"/>
                </w:rPr>
                <m:t>N</m:t>
              </m:r>
            </m:e>
            <m:sub>
              <m:r>
                <m:rPr>
                  <m:nor/>
                </m:rPr>
                <w:rPr>
                  <w:rFonts w:ascii="Cambria Math" w:hAnsi="Cambria Math"/>
                  <w:b w:val="0"/>
                  <w:iCs/>
                </w:rPr>
                <m:t>max</m:t>
              </m:r>
              <m:ctrlPr>
                <w:rPr>
                  <w:rFonts w:ascii="Cambria Math" w:hAnsi="Cambria Math"/>
                  <w:b w:val="0"/>
                  <w:i/>
                  <w:iCs/>
                </w:rPr>
              </m:ctrlPr>
            </m:sub>
            <m:sup>
              <m:r>
                <m:rPr>
                  <m:sty m:val="b"/>
                </m:rPr>
                <w:rPr>
                  <w:rFonts w:ascii="Cambria Math" w:hAnsi="Cambria Math"/>
                </w:rPr>
                <m:t>resource</m:t>
              </m:r>
            </m:sup>
          </m:sSubSup>
          <m:r>
            <m:rPr>
              <m:sty m:val="b"/>
            </m:rPr>
            <w:rPr>
              <w:rFonts w:ascii="Cambria Math" w:hAnsi="Cambria Math"/>
            </w:rPr>
            <m:t>)</m:t>
          </m:r>
        </m:oMath>
      </m:oMathPara>
      <w:bookmarkEnd w:id="23"/>
      <w:bookmarkEnd w:id="24"/>
    </w:p>
    <w:bookmarkEnd w:id="20"/>
    <w:p w14:paraId="5A7A9C33" w14:textId="25FB534D" w:rsidR="004C4E34" w:rsidRPr="00B07E89" w:rsidRDefault="0088714E" w:rsidP="00CC54F4">
      <w:pPr>
        <w:pStyle w:val="Heading2"/>
        <w:jc w:val="both"/>
        <w:rPr>
          <w:lang w:val="en-US"/>
        </w:rPr>
      </w:pPr>
      <w:r w:rsidRPr="00B07E89">
        <w:rPr>
          <w:lang w:val="en-US"/>
        </w:rPr>
        <w:t>Common WUS sequence</w:t>
      </w:r>
    </w:p>
    <w:p w14:paraId="3FBEA433" w14:textId="4639A50B" w:rsidR="0088714E" w:rsidRPr="00B07E89" w:rsidRDefault="00C05397" w:rsidP="00CC54F4">
      <w:pPr>
        <w:jc w:val="both"/>
        <w:rPr>
          <w:lang w:eastAsia="ja-JP"/>
        </w:rPr>
      </w:pPr>
      <w:r w:rsidRPr="00B07E89">
        <w:rPr>
          <w:lang w:eastAsia="ja-JP"/>
        </w:rPr>
        <w:t xml:space="preserve">A remaining </w:t>
      </w:r>
      <w:r w:rsidR="005F6E08" w:rsidRPr="00B07E89">
        <w:rPr>
          <w:lang w:eastAsia="ja-JP"/>
        </w:rPr>
        <w:t>matter that needs agreeing is the common sequence. This matter may be divided into two according to:</w:t>
      </w:r>
    </w:p>
    <w:p w14:paraId="2C7D6BAB" w14:textId="560BD7D7" w:rsidR="005F6E08" w:rsidRPr="00B07E89" w:rsidRDefault="005F6E08" w:rsidP="00CC54F4">
      <w:pPr>
        <w:pStyle w:val="ListParagraph"/>
        <w:numPr>
          <w:ilvl w:val="0"/>
          <w:numId w:val="31"/>
        </w:numPr>
        <w:jc w:val="both"/>
        <w:rPr>
          <w:lang w:val="en-US" w:eastAsia="ja-JP"/>
        </w:rPr>
      </w:pPr>
      <w:r w:rsidRPr="00B07E89">
        <w:rPr>
          <w:lang w:val="en-US" w:eastAsia="ja-JP"/>
        </w:rPr>
        <w:t>Common WUS for non-shared group WUS resources, and</w:t>
      </w:r>
    </w:p>
    <w:p w14:paraId="1F642E98" w14:textId="23D949BD" w:rsidR="005F6E08" w:rsidRPr="00B07E89" w:rsidRDefault="005F6E08" w:rsidP="00CC54F4">
      <w:pPr>
        <w:pStyle w:val="ListParagraph"/>
        <w:numPr>
          <w:ilvl w:val="0"/>
          <w:numId w:val="31"/>
        </w:numPr>
        <w:spacing w:after="240"/>
        <w:jc w:val="both"/>
        <w:rPr>
          <w:lang w:val="en-US" w:eastAsia="ja-JP"/>
        </w:rPr>
      </w:pPr>
      <w:r w:rsidRPr="00B07E89">
        <w:rPr>
          <w:lang w:val="en-US" w:eastAsia="ja-JP"/>
        </w:rPr>
        <w:t xml:space="preserve">Common WUS for the shared </w:t>
      </w:r>
      <w:r w:rsidR="00C84FA5" w:rsidRPr="00B07E89">
        <w:rPr>
          <w:lang w:val="en-US" w:eastAsia="ja-JP"/>
        </w:rPr>
        <w:t>resource, for the case where common WUS is not legacy WUS.</w:t>
      </w:r>
    </w:p>
    <w:p w14:paraId="61EEAE76" w14:textId="45A851EA" w:rsidR="00C84FA5" w:rsidRPr="00B07E89" w:rsidRDefault="00C84FA5" w:rsidP="00CC54F4">
      <w:pPr>
        <w:jc w:val="both"/>
        <w:rPr>
          <w:lang w:eastAsia="ja-JP"/>
        </w:rPr>
      </w:pPr>
      <w:r w:rsidRPr="00B07E89">
        <w:rPr>
          <w:lang w:eastAsia="ja-JP"/>
        </w:rPr>
        <w:fldChar w:fldCharType="begin"/>
      </w:r>
      <w:r w:rsidRPr="00B07E89">
        <w:rPr>
          <w:lang w:eastAsia="ja-JP"/>
        </w:rPr>
        <w:instrText xml:space="preserve"> REF _Ref23703150 \h </w:instrText>
      </w:r>
      <w:r w:rsidR="00093726" w:rsidRPr="00B07E89">
        <w:rPr>
          <w:lang w:eastAsia="ja-JP"/>
        </w:rPr>
        <w:instrText xml:space="preserve"> \* MERGEFORMAT </w:instrText>
      </w:r>
      <w:r w:rsidRPr="00B07E89">
        <w:rPr>
          <w:lang w:eastAsia="ja-JP"/>
        </w:rPr>
      </w:r>
      <w:r w:rsidRPr="00B07E89">
        <w:rPr>
          <w:lang w:eastAsia="ja-JP"/>
        </w:rPr>
        <w:fldChar w:fldCharType="separate"/>
      </w:r>
      <w:r w:rsidR="00DD01EB" w:rsidRPr="00B07E89">
        <w:t xml:space="preserve">Figure </w:t>
      </w:r>
      <w:r w:rsidR="00DD01EB">
        <w:rPr>
          <w:noProof/>
        </w:rPr>
        <w:t>1</w:t>
      </w:r>
      <w:r w:rsidRPr="00B07E89">
        <w:rPr>
          <w:lang w:eastAsia="ja-JP"/>
        </w:rPr>
        <w:fldChar w:fldCharType="end"/>
      </w:r>
      <w:r w:rsidRPr="00B07E89">
        <w:rPr>
          <w:lang w:eastAsia="ja-JP"/>
        </w:rPr>
        <w:t xml:space="preserve"> presents cross correlation performance for three different </w:t>
      </w:r>
      <w:proofErr w:type="gramStart"/>
      <w:r w:rsidRPr="00B07E89">
        <w:rPr>
          <w:lang w:eastAsia="ja-JP"/>
        </w:rPr>
        <w:t>g:s</w:t>
      </w:r>
      <w:proofErr w:type="gramEnd"/>
      <w:r w:rsidRPr="00B07E89">
        <w:rPr>
          <w:lang w:eastAsia="ja-JP"/>
        </w:rPr>
        <w:t>; g = 0, g = 70 and g = 126</w:t>
      </w:r>
      <w:r w:rsidR="004B3797" w:rsidRPr="00B07E89">
        <w:rPr>
          <w:lang w:eastAsia="ja-JP"/>
        </w:rPr>
        <w:t xml:space="preserve"> for both 50 Hz and 250 Hz frequency errors</w:t>
      </w:r>
      <w:r w:rsidRPr="00B07E89">
        <w:rPr>
          <w:lang w:eastAsia="ja-JP"/>
        </w:rPr>
        <w:t xml:space="preserve">. g = 70 corresponds to </w:t>
      </w:r>
      <w:r w:rsidR="004B3797" w:rsidRPr="00B07E89">
        <w:rPr>
          <w:lang w:eastAsia="ja-JP"/>
        </w:rPr>
        <w:t>UE group 5, i.e., it would be available if only for groups were configured. As is evident in the figure g = 126 has a slightly worse performance</w:t>
      </w:r>
      <w:r w:rsidR="00425F80" w:rsidRPr="00B07E89">
        <w:rPr>
          <w:lang w:eastAsia="ja-JP"/>
        </w:rPr>
        <w:t xml:space="preserve"> (0.1 dB)</w:t>
      </w:r>
      <w:r w:rsidR="004B3797" w:rsidRPr="00B07E89">
        <w:rPr>
          <w:lang w:eastAsia="ja-JP"/>
        </w:rPr>
        <w:t xml:space="preserve"> compared to g = 0 and g = 70. </w:t>
      </w:r>
      <w:r w:rsidR="00F65F61" w:rsidRPr="00B07E89">
        <w:rPr>
          <w:lang w:eastAsia="ja-JP"/>
        </w:rPr>
        <w:t>For the worst cases, as presented in the smaller figures, no clear conclusion can be made.</w:t>
      </w:r>
    </w:p>
    <w:p w14:paraId="2C953AE1" w14:textId="77777777" w:rsidR="000200EA" w:rsidRPr="00B07E89" w:rsidRDefault="000E5627" w:rsidP="00CC54F4">
      <w:pPr>
        <w:keepNext/>
        <w:jc w:val="both"/>
      </w:pPr>
      <w:r w:rsidRPr="00B07E89">
        <w:rPr>
          <w:noProof/>
          <w:lang w:eastAsia="ja-JP"/>
        </w:rPr>
        <w:drawing>
          <wp:inline distT="0" distB="0" distL="0" distR="0" wp14:anchorId="50324D4C" wp14:editId="6B887CA4">
            <wp:extent cx="3042000" cy="2289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2000" cy="2289600"/>
                    </a:xfrm>
                    <a:prstGeom prst="rect">
                      <a:avLst/>
                    </a:prstGeom>
                    <a:noFill/>
                    <a:ln>
                      <a:noFill/>
                    </a:ln>
                  </pic:spPr>
                </pic:pic>
              </a:graphicData>
            </a:graphic>
          </wp:inline>
        </w:drawing>
      </w:r>
      <w:r w:rsidRPr="00B07E89">
        <w:rPr>
          <w:noProof/>
          <w:lang w:eastAsia="ja-JP"/>
        </w:rPr>
        <w:drawing>
          <wp:inline distT="0" distB="0" distL="0" distR="0" wp14:anchorId="72FA79FA" wp14:editId="6E228627">
            <wp:extent cx="3038400" cy="2289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8400" cy="2289600"/>
                    </a:xfrm>
                    <a:prstGeom prst="rect">
                      <a:avLst/>
                    </a:prstGeom>
                    <a:noFill/>
                    <a:ln>
                      <a:noFill/>
                    </a:ln>
                  </pic:spPr>
                </pic:pic>
              </a:graphicData>
            </a:graphic>
          </wp:inline>
        </w:drawing>
      </w:r>
    </w:p>
    <w:p w14:paraId="25E03EB1" w14:textId="076AF4E5" w:rsidR="00C0332E" w:rsidRPr="00B07E89" w:rsidRDefault="000200EA" w:rsidP="00CC54F4">
      <w:pPr>
        <w:pStyle w:val="Caption"/>
        <w:jc w:val="both"/>
        <w:rPr>
          <w:lang w:eastAsia="ja-JP"/>
        </w:rPr>
      </w:pPr>
      <w:bookmarkStart w:id="25" w:name="_Ref23703150"/>
      <w:r w:rsidRPr="00B07E89">
        <w:t xml:space="preserve">Figure </w:t>
      </w:r>
      <w:r w:rsidRPr="00B07E89">
        <w:fldChar w:fldCharType="begin"/>
      </w:r>
      <w:r w:rsidRPr="00B07E89">
        <w:instrText xml:space="preserve"> SEQ Figure \* ARABIC </w:instrText>
      </w:r>
      <w:r w:rsidRPr="00B07E89">
        <w:fldChar w:fldCharType="separate"/>
      </w:r>
      <w:r w:rsidR="00DD01EB">
        <w:rPr>
          <w:noProof/>
        </w:rPr>
        <w:t>1</w:t>
      </w:r>
      <w:r w:rsidRPr="00B07E89">
        <w:fldChar w:fldCharType="end"/>
      </w:r>
      <w:bookmarkEnd w:id="25"/>
      <w:r w:rsidRPr="00B07E89">
        <w:t>: Cross correlation</w:t>
      </w:r>
      <w:r w:rsidRPr="00B07E89">
        <w:rPr>
          <w:noProof/>
        </w:rPr>
        <w:t xml:space="preserve"> performance as depending on g</w:t>
      </w:r>
      <w:r w:rsidR="00070DF4" w:rsidRPr="00B07E89">
        <w:rPr>
          <w:noProof/>
        </w:rPr>
        <w:t xml:space="preserve"> for left, 50 Hz</w:t>
      </w:r>
      <w:r w:rsidR="00FD0B78" w:rsidRPr="00B07E89">
        <w:rPr>
          <w:noProof/>
        </w:rPr>
        <w:t xml:space="preserve"> frequency error and, right, 250 Hz frequency error</w:t>
      </w:r>
      <w:r w:rsidR="00C74001" w:rsidRPr="00B07E89">
        <w:rPr>
          <w:noProof/>
        </w:rPr>
        <w:t xml:space="preserve"> for a t</w:t>
      </w:r>
      <w:r w:rsidR="00FD0B78" w:rsidRPr="00B07E89">
        <w:rPr>
          <w:noProof/>
        </w:rPr>
        <w:t>iming window of 33</w:t>
      </w:r>
      <w:r w:rsidR="00FE29A1" w:rsidRPr="00B07E89">
        <w:rPr>
          <w:noProof/>
        </w:rPr>
        <w:t> </w:t>
      </w:r>
      <w:r w:rsidR="00FD0B78" w:rsidRPr="00B07E89">
        <w:rPr>
          <w:noProof/>
        </w:rPr>
        <w:t>µs.</w:t>
      </w:r>
    </w:p>
    <w:p w14:paraId="47D66BC2" w14:textId="16CC9086" w:rsidR="00557B45" w:rsidRPr="00B07E89" w:rsidRDefault="0077702D" w:rsidP="00CC54F4">
      <w:pPr>
        <w:jc w:val="both"/>
        <w:rPr>
          <w:lang w:eastAsia="ja-JP"/>
        </w:rPr>
      </w:pPr>
      <w:r w:rsidRPr="00B07E89">
        <w:rPr>
          <w:lang w:eastAsia="ja-JP"/>
        </w:rPr>
        <w:t xml:space="preserve">From a complexity perspective g = 0 is preferable since that is the legacy WUS with another scrambling sequence. Hence, the incremental phase need not be applied. </w:t>
      </w:r>
      <w:r w:rsidR="00425F80" w:rsidRPr="00B07E89">
        <w:rPr>
          <w:lang w:eastAsia="ja-JP"/>
        </w:rPr>
        <w:t xml:space="preserve">Due to the minor performance difference, it is proposed that </w:t>
      </w:r>
      <w:r w:rsidRPr="00B07E89">
        <w:rPr>
          <w:lang w:eastAsia="ja-JP"/>
        </w:rPr>
        <w:t xml:space="preserve">g = 126 is used as common WUS for the </w:t>
      </w:r>
      <w:r w:rsidR="00F14E89" w:rsidRPr="00B07E89">
        <w:rPr>
          <w:lang w:eastAsia="ja-JP"/>
        </w:rPr>
        <w:t>shared resource and for the case where the common WUS is not the legacy WUS.</w:t>
      </w:r>
    </w:p>
    <w:p w14:paraId="0E4292C3" w14:textId="5BEB3411" w:rsidR="003574A7" w:rsidRPr="00B07E89" w:rsidRDefault="003574A7" w:rsidP="00CC54F4">
      <w:pPr>
        <w:pStyle w:val="Proposal"/>
        <w:jc w:val="both"/>
        <w:rPr>
          <w:lang w:eastAsia="ja-JP"/>
        </w:rPr>
      </w:pPr>
      <w:bookmarkStart w:id="26" w:name="_Toc24121125"/>
      <w:r w:rsidRPr="00B07E89">
        <w:rPr>
          <w:lang w:eastAsia="ja-JP"/>
        </w:rPr>
        <w:lastRenderedPageBreak/>
        <w:t>For common WUS, g = 0 is used unless for a resource</w:t>
      </w:r>
      <w:r w:rsidR="00BD1B9F" w:rsidRPr="00B07E89">
        <w:rPr>
          <w:lang w:eastAsia="ja-JP"/>
        </w:rPr>
        <w:t xml:space="preserve"> where legacy WUS is </w:t>
      </w:r>
      <w:r w:rsidR="00F14E89" w:rsidRPr="00B07E89">
        <w:rPr>
          <w:lang w:eastAsia="ja-JP"/>
        </w:rPr>
        <w:t>configured</w:t>
      </w:r>
      <w:r w:rsidR="00BD1B9F" w:rsidRPr="00B07E89">
        <w:rPr>
          <w:lang w:eastAsia="ja-JP"/>
        </w:rPr>
        <w:t xml:space="preserve">, and the common WUS is configured </w:t>
      </w:r>
      <w:r w:rsidR="00F14E89" w:rsidRPr="00B07E89">
        <w:rPr>
          <w:lang w:eastAsia="ja-JP"/>
        </w:rPr>
        <w:t xml:space="preserve">to not be </w:t>
      </w:r>
      <w:r w:rsidR="00BD1B9F" w:rsidRPr="00B07E89">
        <w:rPr>
          <w:lang w:eastAsia="ja-JP"/>
        </w:rPr>
        <w:t xml:space="preserve">the legacy WUS, in which case g = </w:t>
      </w:r>
      <w:r w:rsidR="00B63B2A" w:rsidRPr="00B07E89">
        <w:rPr>
          <w:lang w:eastAsia="ja-JP"/>
        </w:rPr>
        <w:t>126</w:t>
      </w:r>
      <w:r w:rsidR="00F14E89" w:rsidRPr="00B07E89">
        <w:rPr>
          <w:lang w:eastAsia="ja-JP"/>
        </w:rPr>
        <w:t xml:space="preserve"> is the common WUS</w:t>
      </w:r>
      <w:r w:rsidR="00BD1B9F" w:rsidRPr="00B07E89">
        <w:rPr>
          <w:lang w:eastAsia="ja-JP"/>
        </w:rPr>
        <w:t>.</w:t>
      </w:r>
      <w:bookmarkEnd w:id="26"/>
    </w:p>
    <w:p w14:paraId="08020AB2" w14:textId="77777777" w:rsidR="00C01F33" w:rsidRPr="00B07E89" w:rsidRDefault="00C01F33" w:rsidP="00CC54F4">
      <w:pPr>
        <w:pStyle w:val="Heading1"/>
        <w:jc w:val="both"/>
        <w:rPr>
          <w:lang w:val="en-US"/>
        </w:rPr>
      </w:pPr>
      <w:r w:rsidRPr="00B07E89">
        <w:rPr>
          <w:lang w:val="en-US"/>
        </w:rPr>
        <w:t>Conclusion</w:t>
      </w:r>
    </w:p>
    <w:p w14:paraId="51610476" w14:textId="77777777" w:rsidR="008E065E" w:rsidRPr="00B07E89" w:rsidRDefault="008E065E" w:rsidP="00CC54F4">
      <w:pPr>
        <w:pStyle w:val="BodyText"/>
        <w:jc w:val="both"/>
        <w:rPr>
          <w:b/>
          <w:bCs/>
        </w:rPr>
      </w:pPr>
      <w:r w:rsidRPr="00B07E89">
        <w:t xml:space="preserve">In </w:t>
      </w:r>
      <w:r w:rsidR="007729A2" w:rsidRPr="00B07E89">
        <w:t xml:space="preserve">the previous </w:t>
      </w:r>
      <w:r w:rsidRPr="00B07E89">
        <w:t>section</w:t>
      </w:r>
      <w:r w:rsidR="007729A2" w:rsidRPr="00B07E89">
        <w:t>s</w:t>
      </w:r>
      <w:r w:rsidRPr="00B07E89">
        <w:t xml:space="preserve"> we made the following observations:</w:t>
      </w:r>
      <w:r w:rsidR="00C93814" w:rsidRPr="00B07E89">
        <w:rPr>
          <w:b/>
          <w:bCs/>
        </w:rPr>
        <w:t xml:space="preserve"> </w:t>
      </w:r>
    </w:p>
    <w:p w14:paraId="3309926D" w14:textId="6E8B2E28" w:rsidR="00DD01EB" w:rsidRDefault="006F6582" w:rsidP="00CC54F4">
      <w:pPr>
        <w:pStyle w:val="TableofFigures"/>
        <w:tabs>
          <w:tab w:val="right" w:leader="dot" w:pos="9629"/>
        </w:tabs>
        <w:jc w:val="both"/>
        <w:rPr>
          <w:rFonts w:eastAsiaTheme="minorEastAsia"/>
          <w:b w:val="0"/>
          <w:noProof/>
          <w:lang w:val="sv-SE" w:eastAsia="sv-SE"/>
        </w:rPr>
      </w:pPr>
      <w:r w:rsidRPr="00B07E89">
        <w:rPr>
          <w:bCs/>
        </w:rPr>
        <w:fldChar w:fldCharType="begin"/>
      </w:r>
      <w:r w:rsidRPr="00B07E89">
        <w:rPr>
          <w:bCs/>
        </w:rPr>
        <w:instrText xml:space="preserve"> TOC \f O \n \h \z \t "Observation" \c </w:instrText>
      </w:r>
      <w:r w:rsidRPr="00B07E89">
        <w:rPr>
          <w:bCs/>
        </w:rPr>
        <w:fldChar w:fldCharType="separate"/>
      </w:r>
      <w:hyperlink w:anchor="_Toc24121119" w:history="1">
        <w:r w:rsidR="00DD01EB" w:rsidRPr="00353C19">
          <w:rPr>
            <w:rStyle w:val="Hyperlink"/>
            <w:noProof/>
          </w:rPr>
          <w:t>Observation 1</w:t>
        </w:r>
        <w:r w:rsidR="00DD01EB">
          <w:rPr>
            <w:rFonts w:eastAsiaTheme="minorEastAsia"/>
            <w:b w:val="0"/>
            <w:noProof/>
            <w:lang w:val="sv-SE" w:eastAsia="sv-SE"/>
          </w:rPr>
          <w:tab/>
        </w:r>
        <w:r w:rsidR="00DD01EB" w:rsidRPr="00353C19">
          <w:rPr>
            <w:rStyle w:val="Hyperlink"/>
            <w:noProof/>
          </w:rPr>
          <w:t>Explicit enabling of resource alternation may be preferable to an ill-suited implicit alternation rule.</w:t>
        </w:r>
      </w:hyperlink>
    </w:p>
    <w:p w14:paraId="11432309" w14:textId="21763CAB" w:rsidR="00DD01EB" w:rsidRDefault="00EE4447" w:rsidP="00CC54F4">
      <w:pPr>
        <w:pStyle w:val="TableofFigures"/>
        <w:tabs>
          <w:tab w:val="right" w:leader="dot" w:pos="9629"/>
        </w:tabs>
        <w:jc w:val="both"/>
        <w:rPr>
          <w:rFonts w:eastAsiaTheme="minorEastAsia"/>
          <w:b w:val="0"/>
          <w:noProof/>
          <w:lang w:val="sv-SE" w:eastAsia="sv-SE"/>
        </w:rPr>
      </w:pPr>
      <w:hyperlink w:anchor="_Toc24121120" w:history="1">
        <w:r w:rsidR="00DD01EB" w:rsidRPr="00353C19">
          <w:rPr>
            <w:rStyle w:val="Hyperlink"/>
            <w:noProof/>
          </w:rPr>
          <w:t>Observation 2</w:t>
        </w:r>
        <w:r w:rsidR="00DD01EB">
          <w:rPr>
            <w:rFonts w:eastAsiaTheme="minorEastAsia"/>
            <w:b w:val="0"/>
            <w:noProof/>
            <w:lang w:val="sv-SE" w:eastAsia="sv-SE"/>
          </w:rPr>
          <w:tab/>
        </w:r>
        <w:r w:rsidR="00DD01EB" w:rsidRPr="00353C19">
          <w:rPr>
            <w:rStyle w:val="Hyperlink"/>
            <w:noProof/>
          </w:rPr>
          <w:t>Alternating individual UE groups instead of all groups in a WUS resource will affect performance of service-based grouping.</w:t>
        </w:r>
      </w:hyperlink>
    </w:p>
    <w:p w14:paraId="10A81C98" w14:textId="64EB5430" w:rsidR="006E1C82" w:rsidRPr="00B07E89" w:rsidRDefault="006F6582" w:rsidP="00CC54F4">
      <w:pPr>
        <w:pStyle w:val="BodyText"/>
        <w:jc w:val="both"/>
      </w:pPr>
      <w:r w:rsidRPr="00B07E89">
        <w:fldChar w:fldCharType="end"/>
      </w:r>
    </w:p>
    <w:p w14:paraId="1C5D9E88" w14:textId="77777777" w:rsidR="006E1C82" w:rsidRPr="00B07E89" w:rsidRDefault="008E065E" w:rsidP="00CC54F4">
      <w:pPr>
        <w:pStyle w:val="BodyText"/>
        <w:jc w:val="both"/>
      </w:pPr>
      <w:r w:rsidRPr="00B07E89">
        <w:t xml:space="preserve">Based on the discussion in </w:t>
      </w:r>
      <w:r w:rsidR="007729A2" w:rsidRPr="00B07E89">
        <w:t xml:space="preserve">the previous </w:t>
      </w:r>
      <w:r w:rsidRPr="00B07E89">
        <w:t>section</w:t>
      </w:r>
      <w:r w:rsidR="007729A2" w:rsidRPr="00B07E89">
        <w:t>s</w:t>
      </w:r>
      <w:r w:rsidRPr="00B07E89">
        <w:t xml:space="preserve"> we propose the following:</w:t>
      </w:r>
    </w:p>
    <w:p w14:paraId="5BF4068A" w14:textId="790ED943" w:rsidR="00DD01EB" w:rsidRDefault="006E1C82" w:rsidP="00CC54F4">
      <w:pPr>
        <w:pStyle w:val="TableofFigures"/>
        <w:tabs>
          <w:tab w:val="right" w:leader="dot" w:pos="9629"/>
        </w:tabs>
        <w:jc w:val="both"/>
        <w:rPr>
          <w:rFonts w:eastAsiaTheme="minorEastAsia"/>
          <w:b w:val="0"/>
          <w:noProof/>
          <w:lang w:val="sv-SE" w:eastAsia="sv-SE"/>
        </w:rPr>
      </w:pPr>
      <w:r w:rsidRPr="00B07E89">
        <w:rPr>
          <w:bCs/>
        </w:rPr>
        <w:fldChar w:fldCharType="begin"/>
      </w:r>
      <w:r w:rsidRPr="00B07E89">
        <w:rPr>
          <w:bCs/>
        </w:rPr>
        <w:instrText xml:space="preserve"> TOC \n \h \z \t "Proposal" \c </w:instrText>
      </w:r>
      <w:r w:rsidRPr="00B07E89">
        <w:rPr>
          <w:bCs/>
        </w:rPr>
        <w:fldChar w:fldCharType="separate"/>
      </w:r>
      <w:hyperlink w:anchor="_Toc24121121" w:history="1">
        <w:r w:rsidR="00DD01EB" w:rsidRPr="007E2370">
          <w:rPr>
            <w:rStyle w:val="Hyperlink"/>
            <w:noProof/>
          </w:rPr>
          <w:t>Proposal 1</w:t>
        </w:r>
        <w:r w:rsidR="00DD01EB">
          <w:rPr>
            <w:rFonts w:eastAsiaTheme="minorEastAsia"/>
            <w:b w:val="0"/>
            <w:noProof/>
            <w:lang w:val="sv-SE" w:eastAsia="sv-SE"/>
          </w:rPr>
          <w:tab/>
        </w:r>
        <w:r w:rsidR="00DD01EB" w:rsidRPr="007E2370">
          <w:rPr>
            <w:rStyle w:val="Hyperlink"/>
            <w:noProof/>
          </w:rPr>
          <w:t>Explicitly indicate in SI if alternation is enabled or not.</w:t>
        </w:r>
      </w:hyperlink>
    </w:p>
    <w:p w14:paraId="3BABCA34" w14:textId="44365325" w:rsidR="00DD01EB" w:rsidRDefault="00EE4447" w:rsidP="00CC54F4">
      <w:pPr>
        <w:pStyle w:val="TableofFigures"/>
        <w:tabs>
          <w:tab w:val="right" w:leader="dot" w:pos="9629"/>
        </w:tabs>
        <w:jc w:val="both"/>
        <w:rPr>
          <w:rFonts w:eastAsiaTheme="minorEastAsia"/>
          <w:b w:val="0"/>
          <w:noProof/>
          <w:lang w:val="sv-SE" w:eastAsia="sv-SE"/>
        </w:rPr>
      </w:pPr>
      <w:hyperlink w:anchor="_Toc24121122" w:history="1">
        <w:r w:rsidR="00DD01EB" w:rsidRPr="007E2370">
          <w:rPr>
            <w:rStyle w:val="Hyperlink"/>
            <w:noProof/>
          </w:rPr>
          <w:t>Proposal 2</w:t>
        </w:r>
        <w:r w:rsidR="00DD01EB">
          <w:rPr>
            <w:rFonts w:eastAsiaTheme="minorEastAsia"/>
            <w:b w:val="0"/>
            <w:noProof/>
            <w:lang w:val="sv-SE" w:eastAsia="sv-SE"/>
          </w:rPr>
          <w:tab/>
        </w:r>
        <w:r w:rsidR="00DD01EB" w:rsidRPr="007E2370">
          <w:rPr>
            <w:rStyle w:val="Hyperlink"/>
            <w:noProof/>
          </w:rPr>
          <w:t>UE groups in a resource share alternation pattern.</w:t>
        </w:r>
      </w:hyperlink>
    </w:p>
    <w:p w14:paraId="48790036" w14:textId="428D1982" w:rsidR="00DD01EB" w:rsidRDefault="00EE4447" w:rsidP="00CC54F4">
      <w:pPr>
        <w:pStyle w:val="TableofFigures"/>
        <w:tabs>
          <w:tab w:val="right" w:leader="dot" w:pos="9629"/>
        </w:tabs>
        <w:jc w:val="both"/>
        <w:rPr>
          <w:rFonts w:eastAsiaTheme="minorEastAsia"/>
          <w:b w:val="0"/>
          <w:noProof/>
          <w:lang w:val="sv-SE" w:eastAsia="sv-SE"/>
        </w:rPr>
      </w:pPr>
      <w:hyperlink w:anchor="_Toc24121123" w:history="1">
        <w:r w:rsidR="00DD01EB" w:rsidRPr="007E2370">
          <w:rPr>
            <w:rStyle w:val="Hyperlink"/>
            <w:noProof/>
          </w:rPr>
          <w:t>Proposal 3</w:t>
        </w:r>
        <w:r w:rsidR="00DD01EB">
          <w:rPr>
            <w:rFonts w:eastAsiaTheme="minorEastAsia"/>
            <w:b w:val="0"/>
            <w:noProof/>
            <w:lang w:val="sv-SE" w:eastAsia="sv-SE"/>
          </w:rPr>
          <w:tab/>
        </w:r>
        <w:r w:rsidR="00DD01EB" w:rsidRPr="007E2370">
          <w:rPr>
            <w:rStyle w:val="Hyperlink"/>
            <w:noProof/>
          </w:rPr>
          <w:t>WUS resource alternation is performed according to:</w:t>
        </w:r>
      </w:hyperlink>
    </w:p>
    <w:p w14:paraId="3C47CDC6" w14:textId="77777777" w:rsidR="00F6773D" w:rsidRPr="00B07E89" w:rsidRDefault="00EE4447" w:rsidP="00CC54F4">
      <w:pPr>
        <w:pStyle w:val="Proposal"/>
        <w:numPr>
          <w:ilvl w:val="0"/>
          <w:numId w:val="0"/>
        </w:numPr>
        <w:ind w:left="1304"/>
        <w:jc w:val="both"/>
        <w:rPr>
          <w:rFonts w:ascii="Times New Roman" w:hAnsi="Times New Roman"/>
          <w:b w:val="0"/>
        </w:rPr>
      </w:pPr>
      <m:oMathPara>
        <m:oMath>
          <m:sSubSup>
            <m:sSubSupPr>
              <m:ctrlPr>
                <w:rPr>
                  <w:rFonts w:ascii="Cambria Math" w:hAnsi="Cambria Math"/>
                  <w:b w:val="0"/>
                  <w:i/>
                  <w:lang w:eastAsia="ja-JP"/>
                </w:rPr>
              </m:ctrlPr>
            </m:sSubSupPr>
            <m:e>
              <m:r>
                <m:rPr>
                  <m:sty m:val="b"/>
                </m:rPr>
                <w:rPr>
                  <w:rFonts w:ascii="Cambria Math" w:hAnsi="Cambria Math"/>
                  <w:lang w:eastAsia="ja-JP"/>
                </w:rPr>
                <m:t>N</m:t>
              </m:r>
            </m:e>
            <m:sub>
              <m:r>
                <m:rPr>
                  <m:nor/>
                </m:rPr>
                <w:rPr>
                  <w:rFonts w:ascii="Cambria Math" w:hAnsi="Cambria Math"/>
                  <w:b w:val="0"/>
                  <w:lang w:eastAsia="ja-JP"/>
                </w:rPr>
                <m:t>ID</m:t>
              </m:r>
              <m:ctrlPr>
                <w:rPr>
                  <w:rFonts w:ascii="Cambria Math" w:hAnsi="Cambria Math"/>
                  <w:b w:val="0"/>
                  <w:lang w:eastAsia="ja-JP"/>
                </w:rPr>
              </m:ctrlPr>
            </m:sub>
            <m:sup>
              <m:r>
                <m:rPr>
                  <m:nor/>
                </m:rPr>
                <w:rPr>
                  <w:rFonts w:ascii="Cambria Math" w:hAnsi="Cambria Math"/>
                  <w:b w:val="0"/>
                  <w:lang w:eastAsia="ja-JP"/>
                </w:rPr>
                <m:t>resource</m:t>
              </m:r>
            </m:sup>
          </m:sSubSup>
          <m:r>
            <m:rPr>
              <m:sty m:val="b"/>
            </m:rPr>
            <w:rPr>
              <w:rFonts w:ascii="Cambria Math" w:hAnsi="Cambria Math"/>
            </w:rPr>
            <m:t>(HSFN, SFN)=</m:t>
          </m:r>
          <m:d>
            <m:dPr>
              <m:ctrlPr>
                <w:rPr>
                  <w:rFonts w:ascii="Cambria Math" w:hAnsi="Cambria Math"/>
                  <w:b w:val="0"/>
                </w:rPr>
              </m:ctrlPr>
            </m:dPr>
            <m:e>
              <m:sSubSup>
                <m:sSubSupPr>
                  <m:ctrlPr>
                    <w:rPr>
                      <w:rFonts w:ascii="Cambria Math" w:hAnsi="Cambria Math"/>
                      <w:b w:val="0"/>
                      <w:i/>
                      <w:lang w:eastAsia="ja-JP"/>
                    </w:rPr>
                  </m:ctrlPr>
                </m:sSubSupPr>
                <m:e>
                  <m:r>
                    <m:rPr>
                      <m:sty m:val="b"/>
                    </m:rPr>
                    <w:rPr>
                      <w:rFonts w:ascii="Cambria Math" w:hAnsi="Cambria Math"/>
                      <w:lang w:eastAsia="ja-JP"/>
                    </w:rPr>
                    <m:t>N</m:t>
                  </m:r>
                </m:e>
                <m:sub>
                  <m:r>
                    <m:rPr>
                      <m:nor/>
                    </m:rPr>
                    <w:rPr>
                      <w:rFonts w:ascii="Cambria Math" w:hAnsi="Cambria Math"/>
                      <w:b w:val="0"/>
                      <w:lang w:eastAsia="ja-JP"/>
                    </w:rPr>
                    <m:t>ID</m:t>
                  </m:r>
                  <m:ctrlPr>
                    <w:rPr>
                      <w:rFonts w:ascii="Cambria Math" w:hAnsi="Cambria Math"/>
                      <w:b w:val="0"/>
                      <w:lang w:eastAsia="ja-JP"/>
                    </w:rPr>
                  </m:ctrlPr>
                </m:sub>
                <m:sup>
                  <m:r>
                    <m:rPr>
                      <m:nor/>
                    </m:rPr>
                    <w:rPr>
                      <w:rFonts w:ascii="Cambria Math" w:hAnsi="Cambria Math"/>
                      <w:b w:val="0"/>
                      <w:lang w:eastAsia="ja-JP"/>
                    </w:rPr>
                    <m:t>resource</m:t>
                  </m:r>
                </m:sup>
              </m:sSubSup>
              <m:r>
                <m:rPr>
                  <m:sty m:val="b"/>
                </m:rPr>
                <w:rPr>
                  <w:rFonts w:ascii="Cambria Math" w:hAnsi="Cambria Math"/>
                </w:rPr>
                <m:t>+</m:t>
              </m:r>
              <m:d>
                <m:dPr>
                  <m:begChr m:val="⌊"/>
                  <m:endChr m:val="⌋"/>
                  <m:ctrlPr>
                    <w:rPr>
                      <w:rFonts w:ascii="Cambria Math" w:hAnsi="Cambria Math"/>
                      <w:b w:val="0"/>
                    </w:rPr>
                  </m:ctrlPr>
                </m:dPr>
                <m:e>
                  <m:f>
                    <m:fPr>
                      <m:ctrlPr>
                        <w:rPr>
                          <w:rFonts w:ascii="Cambria Math" w:hAnsi="Cambria Math"/>
                          <w:b w:val="0"/>
                        </w:rPr>
                      </m:ctrlPr>
                    </m:fPr>
                    <m:num>
                      <m:r>
                        <m:rPr>
                          <m:sty m:val="b"/>
                        </m:rPr>
                        <w:rPr>
                          <w:rFonts w:ascii="Cambria Math" w:hAnsi="Cambria Math"/>
                        </w:rPr>
                        <m:t>1024</m:t>
                      </m:r>
                      <m:r>
                        <m:rPr>
                          <m:sty m:val="b"/>
                        </m:rPr>
                        <w:rPr>
                          <w:rFonts w:ascii="Cambria Math" w:hAnsi="Cambria Math" w:cs="Times New Roman"/>
                        </w:rPr>
                        <m:t>×</m:t>
                      </m:r>
                      <m:r>
                        <m:rPr>
                          <m:nor/>
                        </m:rPr>
                        <w:rPr>
                          <w:rFonts w:ascii="Cambria Math" w:hAnsi="Cambria Math"/>
                          <w:b w:val="0"/>
                        </w:rPr>
                        <m:t>HSFN</m:t>
                      </m:r>
                      <m:r>
                        <m:rPr>
                          <m:sty m:val="b"/>
                        </m:rPr>
                        <w:rPr>
                          <w:rFonts w:ascii="Cambria Math" w:hAnsi="Cambria Math"/>
                        </w:rPr>
                        <m:t>+</m:t>
                      </m:r>
                      <m:r>
                        <m:rPr>
                          <m:nor/>
                        </m:rPr>
                        <w:rPr>
                          <w:rFonts w:ascii="Cambria Math" w:hAnsi="Cambria Math"/>
                          <w:b w:val="0"/>
                        </w:rPr>
                        <m:t>SFN</m:t>
                      </m:r>
                    </m:num>
                    <m:den>
                      <m:r>
                        <m:rPr>
                          <m:sty m:val="b"/>
                        </m:rPr>
                        <w:rPr>
                          <w:rFonts w:ascii="Cambria Math" w:hAnsi="Cambria Math"/>
                        </w:rPr>
                        <m:t>T</m:t>
                      </m:r>
                    </m:den>
                  </m:f>
                </m:e>
              </m:d>
            </m:e>
          </m:d>
          <m:r>
            <m:rPr>
              <m:nor/>
            </m:rPr>
            <w:rPr>
              <w:rFonts w:ascii="Cambria Math" w:hAnsi="Cambria Math"/>
              <w:b w:val="0"/>
              <w:iCs/>
            </w:rPr>
            <m:t xml:space="preserve">mod </m:t>
          </m:r>
          <m:r>
            <m:rPr>
              <m:sty m:val="b"/>
            </m:rPr>
            <w:rPr>
              <w:rFonts w:ascii="Cambria Math" w:hAnsi="Cambria Math"/>
            </w:rPr>
            <m:t>(</m:t>
          </m:r>
          <m:sSubSup>
            <m:sSubSupPr>
              <m:ctrlPr>
                <w:rPr>
                  <w:rFonts w:ascii="Cambria Math" w:hAnsi="Cambria Math"/>
                  <w:b w:val="0"/>
                </w:rPr>
              </m:ctrlPr>
            </m:sSubSupPr>
            <m:e>
              <m:r>
                <m:rPr>
                  <m:sty m:val="b"/>
                </m:rPr>
                <w:rPr>
                  <w:rFonts w:ascii="Cambria Math" w:hAnsi="Cambria Math"/>
                </w:rPr>
                <m:t>N</m:t>
              </m:r>
            </m:e>
            <m:sub>
              <m:r>
                <m:rPr>
                  <m:nor/>
                </m:rPr>
                <w:rPr>
                  <w:rFonts w:ascii="Cambria Math" w:hAnsi="Cambria Math"/>
                  <w:b w:val="0"/>
                  <w:iCs/>
                </w:rPr>
                <m:t>max</m:t>
              </m:r>
              <m:ctrlPr>
                <w:rPr>
                  <w:rFonts w:ascii="Cambria Math" w:hAnsi="Cambria Math"/>
                  <w:b w:val="0"/>
                  <w:i/>
                  <w:iCs/>
                </w:rPr>
              </m:ctrlPr>
            </m:sub>
            <m:sup>
              <m:r>
                <m:rPr>
                  <m:sty m:val="b"/>
                </m:rPr>
                <w:rPr>
                  <w:rFonts w:ascii="Cambria Math" w:hAnsi="Cambria Math"/>
                </w:rPr>
                <m:t>resource</m:t>
              </m:r>
            </m:sup>
          </m:sSubSup>
          <m:r>
            <m:rPr>
              <m:sty m:val="b"/>
            </m:rPr>
            <w:rPr>
              <w:rFonts w:ascii="Cambria Math" w:hAnsi="Cambria Math"/>
            </w:rPr>
            <m:t>)</m:t>
          </m:r>
        </m:oMath>
      </m:oMathPara>
    </w:p>
    <w:p w14:paraId="46766BB6" w14:textId="2B5B263F" w:rsidR="00C01F33" w:rsidRPr="00B07E89" w:rsidRDefault="00EE4447" w:rsidP="000921E6">
      <w:pPr>
        <w:pStyle w:val="TableofFigures"/>
        <w:tabs>
          <w:tab w:val="right" w:leader="dot" w:pos="9629"/>
        </w:tabs>
        <w:jc w:val="both"/>
      </w:pPr>
      <w:hyperlink w:anchor="_Toc24121125" w:history="1">
        <w:r w:rsidR="00DD01EB" w:rsidRPr="007E2370">
          <w:rPr>
            <w:rStyle w:val="Hyperlink"/>
            <w:noProof/>
          </w:rPr>
          <w:t>Proposal 4</w:t>
        </w:r>
        <w:r w:rsidR="00DD01EB">
          <w:rPr>
            <w:rFonts w:eastAsiaTheme="minorEastAsia"/>
            <w:b w:val="0"/>
            <w:noProof/>
            <w:lang w:val="sv-SE" w:eastAsia="sv-SE"/>
          </w:rPr>
          <w:tab/>
        </w:r>
        <w:r w:rsidR="00DD01EB" w:rsidRPr="007E2370">
          <w:rPr>
            <w:rStyle w:val="Hyperlink"/>
            <w:noProof/>
            <w:lang w:eastAsia="ja-JP"/>
          </w:rPr>
          <w:t>For common WUS, g = 0 is used unless for a resource where legacy WUS is configured, and the common WUS is configured to not be the legacy WUS, in which case g = 126 is the common WUS.</w:t>
        </w:r>
      </w:hyperlink>
      <w:r w:rsidR="006E1C82" w:rsidRPr="00B07E89">
        <w:fldChar w:fldCharType="end"/>
      </w:r>
    </w:p>
    <w:p w14:paraId="480EFD15" w14:textId="77777777" w:rsidR="00F507D1" w:rsidRPr="00B07E89" w:rsidRDefault="00F507D1" w:rsidP="00CC54F4">
      <w:pPr>
        <w:pStyle w:val="Heading1"/>
        <w:numPr>
          <w:ilvl w:val="0"/>
          <w:numId w:val="0"/>
        </w:numPr>
        <w:jc w:val="both"/>
        <w:rPr>
          <w:lang w:val="en-US"/>
        </w:rPr>
      </w:pPr>
      <w:bookmarkStart w:id="27" w:name="_In-sequence_SDU_delivery"/>
      <w:bookmarkEnd w:id="27"/>
      <w:r w:rsidRPr="00B07E89">
        <w:rPr>
          <w:lang w:val="en-US"/>
        </w:rPr>
        <w:t>References</w:t>
      </w:r>
    </w:p>
    <w:bookmarkStart w:id="28" w:name="_Ref20821376"/>
    <w:bookmarkStart w:id="29" w:name="_Ref20916874"/>
    <w:bookmarkStart w:id="30" w:name="_Hlk23425876"/>
    <w:bookmarkStart w:id="31" w:name="_Ref174151459"/>
    <w:bookmarkStart w:id="32" w:name="_Ref189809556"/>
    <w:p w14:paraId="26E9B0F9" w14:textId="598CB5D7" w:rsidR="008D5B05" w:rsidRPr="00B07E89" w:rsidRDefault="008D5B05" w:rsidP="00CC54F4">
      <w:pPr>
        <w:pStyle w:val="Reference"/>
        <w:jc w:val="both"/>
      </w:pPr>
      <w:r w:rsidRPr="00B07E89">
        <w:fldChar w:fldCharType="begin"/>
      </w:r>
      <w:r w:rsidR="00BC797F" w:rsidRPr="00B07E89">
        <w:instrText>HYPERLINK "https://www.3gpp.org/ftp/tsg_ran/TSG_RAN/TSGR_85/Docs/RP-192313.zip"</w:instrText>
      </w:r>
      <w:r w:rsidRPr="00B07E89">
        <w:fldChar w:fldCharType="separate"/>
      </w:r>
      <w:r w:rsidRPr="00B07E89">
        <w:rPr>
          <w:rStyle w:val="Hyperlink"/>
        </w:rPr>
        <w:t>RP-19</w:t>
      </w:r>
      <w:r w:rsidR="00BC797F" w:rsidRPr="00B07E89">
        <w:rPr>
          <w:rStyle w:val="Hyperlink"/>
        </w:rPr>
        <w:t>2313</w:t>
      </w:r>
      <w:r w:rsidRPr="00B07E89">
        <w:fldChar w:fldCharType="end"/>
      </w:r>
      <w:r w:rsidRPr="00B07E89">
        <w:t xml:space="preserve">,  “Additional enhancements for </w:t>
      </w:r>
      <w:r w:rsidR="00EF756B" w:rsidRPr="00B07E89">
        <w:t>NB-IoT</w:t>
      </w:r>
      <w:r w:rsidRPr="00B07E89">
        <w:t xml:space="preserve">,” </w:t>
      </w:r>
      <w:r w:rsidR="00BC797F" w:rsidRPr="00B07E89">
        <w:t>Futurewei</w:t>
      </w:r>
      <w:r w:rsidRPr="00B07E89">
        <w:t>, RAN #8</w:t>
      </w:r>
      <w:r w:rsidR="00BC797F" w:rsidRPr="00B07E89">
        <w:t>5</w:t>
      </w:r>
      <w:r w:rsidRPr="00B07E89">
        <w:t xml:space="preserve">, Newport Beach, USA, </w:t>
      </w:r>
      <w:r w:rsidR="00BC797F" w:rsidRPr="00B07E89">
        <w:t>September</w:t>
      </w:r>
      <w:r w:rsidRPr="00B07E89">
        <w:t xml:space="preserve"> 2019</w:t>
      </w:r>
      <w:bookmarkEnd w:id="28"/>
      <w:r w:rsidRPr="00B07E89">
        <w:t>.</w:t>
      </w:r>
      <w:bookmarkEnd w:id="29"/>
    </w:p>
    <w:bookmarkStart w:id="33" w:name="_Ref20916890"/>
    <w:bookmarkEnd w:id="30"/>
    <w:p w14:paraId="4322C952" w14:textId="18C5527B" w:rsidR="003A7EF3" w:rsidRPr="00B07E89" w:rsidRDefault="008D5B05" w:rsidP="00CC54F4">
      <w:pPr>
        <w:pStyle w:val="Reference"/>
        <w:jc w:val="both"/>
      </w:pPr>
      <w:r w:rsidRPr="00B07E89">
        <w:fldChar w:fldCharType="begin"/>
      </w:r>
      <w:r w:rsidR="00455BAE" w:rsidRPr="00B07E89">
        <w:instrText>HYPERLINK "https://www.3gpp.org/ftp/tsg_ran/WG1_RL1/TSGR1_98b/Docs/R1-1911573.zip"</w:instrText>
      </w:r>
      <w:r w:rsidRPr="00B07E89">
        <w:fldChar w:fldCharType="separate"/>
      </w:r>
      <w:r w:rsidRPr="00B07E89">
        <w:rPr>
          <w:rStyle w:val="Hyperlink"/>
        </w:rPr>
        <w:t>R1-19</w:t>
      </w:r>
      <w:r w:rsidR="00455BAE" w:rsidRPr="00B07E89">
        <w:rPr>
          <w:rStyle w:val="Hyperlink"/>
        </w:rPr>
        <w:t>1157</w:t>
      </w:r>
      <w:r w:rsidR="00BC797F" w:rsidRPr="00B07E89">
        <w:rPr>
          <w:rStyle w:val="Hyperlink"/>
        </w:rPr>
        <w:t>5</w:t>
      </w:r>
      <w:r w:rsidRPr="00B07E89">
        <w:fldChar w:fldCharType="end"/>
      </w:r>
      <w:bookmarkStart w:id="34" w:name="_Hlk20916773"/>
      <w:r w:rsidRPr="00B07E89">
        <w:t xml:space="preserve">, “RAN1 agreements for Rel-16 Additional MTC Enhancements for LTE,” </w:t>
      </w:r>
      <w:r w:rsidR="00BC797F" w:rsidRPr="00B07E89">
        <w:t>Futurewei</w:t>
      </w:r>
      <w:r w:rsidRPr="00B07E89">
        <w:t>, RAN1 #98</w:t>
      </w:r>
      <w:r w:rsidR="00F4700B" w:rsidRPr="00B07E89">
        <w:t>bis</w:t>
      </w:r>
      <w:r w:rsidRPr="00B07E89">
        <w:t xml:space="preserve">, </w:t>
      </w:r>
      <w:r w:rsidR="00F4700B" w:rsidRPr="00B07E89">
        <w:t>Chongqing</w:t>
      </w:r>
      <w:r w:rsidRPr="00B07E89">
        <w:t xml:space="preserve">, </w:t>
      </w:r>
      <w:r w:rsidR="00F4700B" w:rsidRPr="00B07E89">
        <w:t>P.R. China</w:t>
      </w:r>
      <w:r w:rsidRPr="00B07E89">
        <w:t xml:space="preserve">, </w:t>
      </w:r>
      <w:r w:rsidR="00F4700B" w:rsidRPr="00B07E89">
        <w:t>October</w:t>
      </w:r>
      <w:r w:rsidRPr="00B07E89">
        <w:t xml:space="preserve"> 2019</w:t>
      </w:r>
      <w:bookmarkEnd w:id="34"/>
      <w:r w:rsidRPr="00B07E89">
        <w:t>.</w:t>
      </w:r>
      <w:bookmarkEnd w:id="31"/>
      <w:bookmarkEnd w:id="32"/>
      <w:bookmarkEnd w:id="33"/>
    </w:p>
    <w:bookmarkStart w:id="35" w:name="_Ref24107753"/>
    <w:p w14:paraId="535BC1A9" w14:textId="08D2AB08" w:rsidR="00BA37D2" w:rsidRPr="00B07E89" w:rsidRDefault="001F284F" w:rsidP="00CC54F4">
      <w:pPr>
        <w:pStyle w:val="Reference"/>
        <w:jc w:val="both"/>
      </w:pPr>
      <w:r w:rsidRPr="00B07E89">
        <w:fldChar w:fldCharType="begin"/>
      </w:r>
      <w:r w:rsidRPr="00B07E89">
        <w:instrText xml:space="preserve"> HYPERLINK "http://www.3gpp.org/ftp/TSG_RAN/WG2_RL2/TSGR2_108/Docs/R2-1915801.zip" </w:instrText>
      </w:r>
      <w:r w:rsidRPr="00B07E89">
        <w:fldChar w:fldCharType="separate"/>
      </w:r>
      <w:r w:rsidR="00BA37D2" w:rsidRPr="00B07E89">
        <w:rPr>
          <w:rStyle w:val="Hyperlink"/>
        </w:rPr>
        <w:t>R2-1915801</w:t>
      </w:r>
      <w:r w:rsidRPr="00B07E89">
        <w:fldChar w:fldCharType="end"/>
      </w:r>
      <w:r w:rsidR="00BA37D2" w:rsidRPr="00B07E89">
        <w:t>, “Group WUS</w:t>
      </w:r>
      <w:r w:rsidR="008E4E44" w:rsidRPr="00B07E89">
        <w:t>,</w:t>
      </w:r>
      <w:r w:rsidR="00BA37D2" w:rsidRPr="00B07E89">
        <w:t>”</w:t>
      </w:r>
      <w:r w:rsidR="008E4E44" w:rsidRPr="00B07E89">
        <w:t xml:space="preserve"> Ericsson</w:t>
      </w:r>
      <w:r w:rsidRPr="00B07E89">
        <w:t>, RAN2 #108, Reno, USA, November 2019.</w:t>
      </w:r>
      <w:bookmarkEnd w:id="35"/>
    </w:p>
    <w:sectPr w:rsidR="00BA37D2" w:rsidRPr="00B07E89"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CE8D3" w14:textId="77777777" w:rsidR="00EE4447" w:rsidRDefault="00EE4447" w:rsidP="00A575AC">
      <w:r>
        <w:separator/>
      </w:r>
    </w:p>
    <w:p w14:paraId="595CD266" w14:textId="77777777" w:rsidR="00EE4447" w:rsidRDefault="00EE4447" w:rsidP="00A575AC"/>
  </w:endnote>
  <w:endnote w:type="continuationSeparator" w:id="0">
    <w:p w14:paraId="033E3DC3" w14:textId="77777777" w:rsidR="00EE4447" w:rsidRDefault="00EE4447" w:rsidP="00A575AC">
      <w:r>
        <w:continuationSeparator/>
      </w:r>
    </w:p>
    <w:p w14:paraId="05D401B0" w14:textId="77777777" w:rsidR="00EE4447" w:rsidRDefault="00EE4447"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B4BF0" w14:textId="77777777" w:rsidR="00BA37D2" w:rsidRDefault="00BA37D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552AE" w14:textId="77777777" w:rsidR="00EE4447" w:rsidRDefault="00EE4447" w:rsidP="00A575AC">
      <w:r>
        <w:separator/>
      </w:r>
    </w:p>
    <w:p w14:paraId="43719CD3" w14:textId="77777777" w:rsidR="00EE4447" w:rsidRDefault="00EE4447" w:rsidP="00A575AC"/>
  </w:footnote>
  <w:footnote w:type="continuationSeparator" w:id="0">
    <w:p w14:paraId="4DB01959" w14:textId="77777777" w:rsidR="00EE4447" w:rsidRDefault="00EE4447" w:rsidP="00A575AC">
      <w:r>
        <w:continuationSeparator/>
      </w:r>
    </w:p>
    <w:p w14:paraId="77C94FF5" w14:textId="77777777" w:rsidR="00EE4447" w:rsidRDefault="00EE4447"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BCA3C" w14:textId="77777777" w:rsidR="00BA37D2" w:rsidRDefault="00BA37D2"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3E6A56"/>
    <w:multiLevelType w:val="hybridMultilevel"/>
    <w:tmpl w:val="AFA02C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DB2149"/>
    <w:multiLevelType w:val="hybridMultilevel"/>
    <w:tmpl w:val="92F2D8DC"/>
    <w:lvl w:ilvl="0" w:tplc="57A8469E">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054EBFCE"/>
    <w:lvl w:ilvl="0" w:tplc="E4FE8CF4">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6"/>
  </w:num>
  <w:num w:numId="17">
    <w:abstractNumId w:val="7"/>
  </w:num>
  <w:num w:numId="18">
    <w:abstractNumId w:val="8"/>
  </w:num>
  <w:num w:numId="19">
    <w:abstractNumId w:val="5"/>
  </w:num>
  <w:num w:numId="20">
    <w:abstractNumId w:val="30"/>
  </w:num>
  <w:num w:numId="21">
    <w:abstractNumId w:val="13"/>
  </w:num>
  <w:num w:numId="22">
    <w:abstractNumId w:val="28"/>
  </w:num>
  <w:num w:numId="23">
    <w:abstractNumId w:val="27"/>
  </w:num>
  <w:num w:numId="24">
    <w:abstractNumId w:val="6"/>
  </w:num>
  <w:num w:numId="25">
    <w:abstractNumId w:val="19"/>
  </w:num>
  <w:num w:numId="26">
    <w:abstractNumId w:val="22"/>
  </w:num>
  <w:num w:numId="27">
    <w:abstractNumId w:val="31"/>
  </w:num>
  <w:num w:numId="28">
    <w:abstractNumId w:val="4"/>
  </w:num>
  <w:num w:numId="29">
    <w:abstractNumId w:val="25"/>
  </w:num>
  <w:num w:numId="30">
    <w:abstractNumId w:val="21"/>
  </w:num>
  <w:num w:numId="31">
    <w:abstractNumId w:val="10"/>
  </w:num>
  <w:num w:numId="32">
    <w:abstractNumId w:val="21"/>
  </w:num>
  <w:num w:numId="33">
    <w:abstractNumId w:val="14"/>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810"/>
    <w:rsid w:val="000006E1"/>
    <w:rsid w:val="00002A37"/>
    <w:rsid w:val="000032E5"/>
    <w:rsid w:val="00005560"/>
    <w:rsid w:val="0000564C"/>
    <w:rsid w:val="00006446"/>
    <w:rsid w:val="00006896"/>
    <w:rsid w:val="0000777C"/>
    <w:rsid w:val="00007CDC"/>
    <w:rsid w:val="00011B28"/>
    <w:rsid w:val="0001217F"/>
    <w:rsid w:val="00015D15"/>
    <w:rsid w:val="000200EA"/>
    <w:rsid w:val="0002564D"/>
    <w:rsid w:val="00025ECA"/>
    <w:rsid w:val="00031606"/>
    <w:rsid w:val="000319A8"/>
    <w:rsid w:val="000325B8"/>
    <w:rsid w:val="000349CB"/>
    <w:rsid w:val="00034C15"/>
    <w:rsid w:val="00036BA1"/>
    <w:rsid w:val="00042118"/>
    <w:rsid w:val="000422E2"/>
    <w:rsid w:val="00042F22"/>
    <w:rsid w:val="000444EF"/>
    <w:rsid w:val="00044B31"/>
    <w:rsid w:val="00052A07"/>
    <w:rsid w:val="000534E3"/>
    <w:rsid w:val="0005606A"/>
    <w:rsid w:val="00057117"/>
    <w:rsid w:val="000616E7"/>
    <w:rsid w:val="00061AAC"/>
    <w:rsid w:val="0006487E"/>
    <w:rsid w:val="00065873"/>
    <w:rsid w:val="00065E1A"/>
    <w:rsid w:val="0006685B"/>
    <w:rsid w:val="00070DF4"/>
    <w:rsid w:val="00077E5F"/>
    <w:rsid w:val="0008036A"/>
    <w:rsid w:val="00081AE6"/>
    <w:rsid w:val="00083CAE"/>
    <w:rsid w:val="000855EB"/>
    <w:rsid w:val="00085B52"/>
    <w:rsid w:val="000866F2"/>
    <w:rsid w:val="0009009F"/>
    <w:rsid w:val="00091557"/>
    <w:rsid w:val="000921E6"/>
    <w:rsid w:val="000924C1"/>
    <w:rsid w:val="000924F0"/>
    <w:rsid w:val="00093474"/>
    <w:rsid w:val="00093726"/>
    <w:rsid w:val="0009510F"/>
    <w:rsid w:val="000A1B7B"/>
    <w:rsid w:val="000A257D"/>
    <w:rsid w:val="000A30EC"/>
    <w:rsid w:val="000A56F2"/>
    <w:rsid w:val="000A73D6"/>
    <w:rsid w:val="000B221C"/>
    <w:rsid w:val="000B2719"/>
    <w:rsid w:val="000B3A8F"/>
    <w:rsid w:val="000B4AB9"/>
    <w:rsid w:val="000B58C3"/>
    <w:rsid w:val="000B61E9"/>
    <w:rsid w:val="000B7BC0"/>
    <w:rsid w:val="000C165A"/>
    <w:rsid w:val="000C2E19"/>
    <w:rsid w:val="000D0D07"/>
    <w:rsid w:val="000D0DDE"/>
    <w:rsid w:val="000D4797"/>
    <w:rsid w:val="000E0527"/>
    <w:rsid w:val="000E1E92"/>
    <w:rsid w:val="000E5627"/>
    <w:rsid w:val="000F06D6"/>
    <w:rsid w:val="000F071F"/>
    <w:rsid w:val="000F0EB1"/>
    <w:rsid w:val="000F1106"/>
    <w:rsid w:val="000F11E2"/>
    <w:rsid w:val="000F3BE9"/>
    <w:rsid w:val="000F3F6C"/>
    <w:rsid w:val="000F6DF3"/>
    <w:rsid w:val="001005FF"/>
    <w:rsid w:val="001057ED"/>
    <w:rsid w:val="001062FB"/>
    <w:rsid w:val="001063E6"/>
    <w:rsid w:val="00107D30"/>
    <w:rsid w:val="00113CF4"/>
    <w:rsid w:val="001153EA"/>
    <w:rsid w:val="00115643"/>
    <w:rsid w:val="00116765"/>
    <w:rsid w:val="001219F5"/>
    <w:rsid w:val="00121A20"/>
    <w:rsid w:val="001227B9"/>
    <w:rsid w:val="0012377F"/>
    <w:rsid w:val="00124314"/>
    <w:rsid w:val="00126B4A"/>
    <w:rsid w:val="00132FD0"/>
    <w:rsid w:val="001344C0"/>
    <w:rsid w:val="001346FA"/>
    <w:rsid w:val="00135252"/>
    <w:rsid w:val="00137AB5"/>
    <w:rsid w:val="00137F0B"/>
    <w:rsid w:val="00147BE7"/>
    <w:rsid w:val="00151E23"/>
    <w:rsid w:val="001523DF"/>
    <w:rsid w:val="001526E0"/>
    <w:rsid w:val="00152D13"/>
    <w:rsid w:val="001543EB"/>
    <w:rsid w:val="001551B5"/>
    <w:rsid w:val="00155CC3"/>
    <w:rsid w:val="001623C3"/>
    <w:rsid w:val="001659C1"/>
    <w:rsid w:val="00173A8E"/>
    <w:rsid w:val="0017502C"/>
    <w:rsid w:val="00180149"/>
    <w:rsid w:val="0018143F"/>
    <w:rsid w:val="00181FF8"/>
    <w:rsid w:val="00190AC1"/>
    <w:rsid w:val="0019341A"/>
    <w:rsid w:val="0019535D"/>
    <w:rsid w:val="00197DF9"/>
    <w:rsid w:val="001A1987"/>
    <w:rsid w:val="001A2564"/>
    <w:rsid w:val="001A6173"/>
    <w:rsid w:val="001A6CBA"/>
    <w:rsid w:val="001A73B9"/>
    <w:rsid w:val="001B0D97"/>
    <w:rsid w:val="001B5A5D"/>
    <w:rsid w:val="001B616C"/>
    <w:rsid w:val="001B7D83"/>
    <w:rsid w:val="001C048D"/>
    <w:rsid w:val="001C1CE5"/>
    <w:rsid w:val="001C3D2A"/>
    <w:rsid w:val="001D51BA"/>
    <w:rsid w:val="001D53E7"/>
    <w:rsid w:val="001D6025"/>
    <w:rsid w:val="001D6342"/>
    <w:rsid w:val="001D6D53"/>
    <w:rsid w:val="001D75CD"/>
    <w:rsid w:val="001E58A8"/>
    <w:rsid w:val="001E58E2"/>
    <w:rsid w:val="001E7AED"/>
    <w:rsid w:val="001E7C0F"/>
    <w:rsid w:val="001F284F"/>
    <w:rsid w:val="001F3916"/>
    <w:rsid w:val="001F5255"/>
    <w:rsid w:val="001F54C5"/>
    <w:rsid w:val="001F662C"/>
    <w:rsid w:val="001F7074"/>
    <w:rsid w:val="00200490"/>
    <w:rsid w:val="00201F3A"/>
    <w:rsid w:val="00203F96"/>
    <w:rsid w:val="00205586"/>
    <w:rsid w:val="002069B2"/>
    <w:rsid w:val="00207FA3"/>
    <w:rsid w:val="00212DA9"/>
    <w:rsid w:val="00214DA8"/>
    <w:rsid w:val="00215423"/>
    <w:rsid w:val="002158FA"/>
    <w:rsid w:val="00220600"/>
    <w:rsid w:val="002224DB"/>
    <w:rsid w:val="00223FCB"/>
    <w:rsid w:val="002252C3"/>
    <w:rsid w:val="00225C54"/>
    <w:rsid w:val="00230765"/>
    <w:rsid w:val="00230D18"/>
    <w:rsid w:val="002319E4"/>
    <w:rsid w:val="002341EC"/>
    <w:rsid w:val="002345B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9DB"/>
    <w:rsid w:val="00273278"/>
    <w:rsid w:val="002737F4"/>
    <w:rsid w:val="00277F05"/>
    <w:rsid w:val="002805F5"/>
    <w:rsid w:val="00280751"/>
    <w:rsid w:val="0028280A"/>
    <w:rsid w:val="00286ACD"/>
    <w:rsid w:val="00287838"/>
    <w:rsid w:val="00290721"/>
    <w:rsid w:val="002907B5"/>
    <w:rsid w:val="00292EB7"/>
    <w:rsid w:val="00296227"/>
    <w:rsid w:val="00296F44"/>
    <w:rsid w:val="0029777D"/>
    <w:rsid w:val="002A055E"/>
    <w:rsid w:val="002A1D4E"/>
    <w:rsid w:val="002A2869"/>
    <w:rsid w:val="002A522A"/>
    <w:rsid w:val="002A5B3D"/>
    <w:rsid w:val="002B24D6"/>
    <w:rsid w:val="002C41E6"/>
    <w:rsid w:val="002D071A"/>
    <w:rsid w:val="002D34B2"/>
    <w:rsid w:val="002D48B0"/>
    <w:rsid w:val="002D5B37"/>
    <w:rsid w:val="002D7637"/>
    <w:rsid w:val="002E17F2"/>
    <w:rsid w:val="002E4591"/>
    <w:rsid w:val="002E5DE6"/>
    <w:rsid w:val="002E7CAE"/>
    <w:rsid w:val="002F2771"/>
    <w:rsid w:val="002F37A9"/>
    <w:rsid w:val="00301CE6"/>
    <w:rsid w:val="0030256B"/>
    <w:rsid w:val="0030501F"/>
    <w:rsid w:val="00307BA1"/>
    <w:rsid w:val="00311702"/>
    <w:rsid w:val="00311E82"/>
    <w:rsid w:val="00313E82"/>
    <w:rsid w:val="00313FD6"/>
    <w:rsid w:val="003143BD"/>
    <w:rsid w:val="00315363"/>
    <w:rsid w:val="00315DC3"/>
    <w:rsid w:val="003203ED"/>
    <w:rsid w:val="00322C9F"/>
    <w:rsid w:val="00324D23"/>
    <w:rsid w:val="00331751"/>
    <w:rsid w:val="00332808"/>
    <w:rsid w:val="00333A96"/>
    <w:rsid w:val="00334579"/>
    <w:rsid w:val="00335858"/>
    <w:rsid w:val="00335864"/>
    <w:rsid w:val="00336BDA"/>
    <w:rsid w:val="00342BD7"/>
    <w:rsid w:val="003445C8"/>
    <w:rsid w:val="00346DB5"/>
    <w:rsid w:val="003477B1"/>
    <w:rsid w:val="003529CB"/>
    <w:rsid w:val="00357380"/>
    <w:rsid w:val="003574A7"/>
    <w:rsid w:val="003602D9"/>
    <w:rsid w:val="00360453"/>
    <w:rsid w:val="003604CE"/>
    <w:rsid w:val="00370E47"/>
    <w:rsid w:val="003742AC"/>
    <w:rsid w:val="00377CE1"/>
    <w:rsid w:val="00385AE3"/>
    <w:rsid w:val="00385BF0"/>
    <w:rsid w:val="00387E69"/>
    <w:rsid w:val="00390764"/>
    <w:rsid w:val="00393873"/>
    <w:rsid w:val="003939FF"/>
    <w:rsid w:val="00395275"/>
    <w:rsid w:val="003A2223"/>
    <w:rsid w:val="003A2A0F"/>
    <w:rsid w:val="003A34E4"/>
    <w:rsid w:val="003A45A1"/>
    <w:rsid w:val="003A5647"/>
    <w:rsid w:val="003A5B0A"/>
    <w:rsid w:val="003A6BAC"/>
    <w:rsid w:val="003A70A4"/>
    <w:rsid w:val="003A7EF3"/>
    <w:rsid w:val="003A7FB6"/>
    <w:rsid w:val="003B08DE"/>
    <w:rsid w:val="003B159C"/>
    <w:rsid w:val="003B369F"/>
    <w:rsid w:val="003B36A3"/>
    <w:rsid w:val="003B4A74"/>
    <w:rsid w:val="003B64BB"/>
    <w:rsid w:val="003B7FE5"/>
    <w:rsid w:val="003C11C8"/>
    <w:rsid w:val="003C2702"/>
    <w:rsid w:val="003C4319"/>
    <w:rsid w:val="003C7806"/>
    <w:rsid w:val="003D109F"/>
    <w:rsid w:val="003D2478"/>
    <w:rsid w:val="003D283D"/>
    <w:rsid w:val="003D2B83"/>
    <w:rsid w:val="003D3C45"/>
    <w:rsid w:val="003D5B1F"/>
    <w:rsid w:val="003E15FA"/>
    <w:rsid w:val="003E55E4"/>
    <w:rsid w:val="003E74E3"/>
    <w:rsid w:val="003F05C7"/>
    <w:rsid w:val="003F269F"/>
    <w:rsid w:val="003F2CD4"/>
    <w:rsid w:val="003F6BBE"/>
    <w:rsid w:val="003F713F"/>
    <w:rsid w:val="003F7144"/>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F80"/>
    <w:rsid w:val="00426B11"/>
    <w:rsid w:val="00427190"/>
    <w:rsid w:val="00427248"/>
    <w:rsid w:val="00432E58"/>
    <w:rsid w:val="00437447"/>
    <w:rsid w:val="00441A92"/>
    <w:rsid w:val="004431DC"/>
    <w:rsid w:val="00444F56"/>
    <w:rsid w:val="00446372"/>
    <w:rsid w:val="00446488"/>
    <w:rsid w:val="00447426"/>
    <w:rsid w:val="004517AA"/>
    <w:rsid w:val="00452CAC"/>
    <w:rsid w:val="00455BAE"/>
    <w:rsid w:val="00457565"/>
    <w:rsid w:val="00457B71"/>
    <w:rsid w:val="004634EF"/>
    <w:rsid w:val="00466528"/>
    <w:rsid w:val="004669E2"/>
    <w:rsid w:val="00470C31"/>
    <w:rsid w:val="00471DE0"/>
    <w:rsid w:val="004734D0"/>
    <w:rsid w:val="00474E8D"/>
    <w:rsid w:val="0047556B"/>
    <w:rsid w:val="00476ED3"/>
    <w:rsid w:val="00477768"/>
    <w:rsid w:val="00483009"/>
    <w:rsid w:val="00490291"/>
    <w:rsid w:val="00492BC5"/>
    <w:rsid w:val="004964F1"/>
    <w:rsid w:val="004A16BC"/>
    <w:rsid w:val="004A2B94"/>
    <w:rsid w:val="004B3797"/>
    <w:rsid w:val="004B6F6A"/>
    <w:rsid w:val="004B7C0C"/>
    <w:rsid w:val="004C16DC"/>
    <w:rsid w:val="004C3898"/>
    <w:rsid w:val="004C4E34"/>
    <w:rsid w:val="004D18CE"/>
    <w:rsid w:val="004D36B1"/>
    <w:rsid w:val="004D7697"/>
    <w:rsid w:val="004D7CC9"/>
    <w:rsid w:val="004D7EBD"/>
    <w:rsid w:val="004E2680"/>
    <w:rsid w:val="004E28F9"/>
    <w:rsid w:val="004E462E"/>
    <w:rsid w:val="004E4E0D"/>
    <w:rsid w:val="004E5343"/>
    <w:rsid w:val="004E56DC"/>
    <w:rsid w:val="004E76F4"/>
    <w:rsid w:val="004F0B4E"/>
    <w:rsid w:val="004F0B6C"/>
    <w:rsid w:val="004F2078"/>
    <w:rsid w:val="004F250E"/>
    <w:rsid w:val="004F4DA3"/>
    <w:rsid w:val="00506557"/>
    <w:rsid w:val="0050677A"/>
    <w:rsid w:val="005108D8"/>
    <w:rsid w:val="005116F9"/>
    <w:rsid w:val="005123B6"/>
    <w:rsid w:val="005153A7"/>
    <w:rsid w:val="005219CF"/>
    <w:rsid w:val="00534B59"/>
    <w:rsid w:val="00536759"/>
    <w:rsid w:val="00537C62"/>
    <w:rsid w:val="00546970"/>
    <w:rsid w:val="00547F49"/>
    <w:rsid w:val="005507B3"/>
    <w:rsid w:val="00552990"/>
    <w:rsid w:val="00554E19"/>
    <w:rsid w:val="00556A92"/>
    <w:rsid w:val="00557B45"/>
    <w:rsid w:val="0056121F"/>
    <w:rsid w:val="005635AD"/>
    <w:rsid w:val="00572505"/>
    <w:rsid w:val="00574850"/>
    <w:rsid w:val="00582809"/>
    <w:rsid w:val="0058798C"/>
    <w:rsid w:val="005900FA"/>
    <w:rsid w:val="0059032B"/>
    <w:rsid w:val="005935A4"/>
    <w:rsid w:val="005948C2"/>
    <w:rsid w:val="00595DCA"/>
    <w:rsid w:val="0059779B"/>
    <w:rsid w:val="00597D86"/>
    <w:rsid w:val="005A209A"/>
    <w:rsid w:val="005A662D"/>
    <w:rsid w:val="005B1409"/>
    <w:rsid w:val="005B35D7"/>
    <w:rsid w:val="005B392A"/>
    <w:rsid w:val="005B3AA3"/>
    <w:rsid w:val="005B6F83"/>
    <w:rsid w:val="005C1A0D"/>
    <w:rsid w:val="005C74FB"/>
    <w:rsid w:val="005D1602"/>
    <w:rsid w:val="005E0616"/>
    <w:rsid w:val="005E06AD"/>
    <w:rsid w:val="005E385F"/>
    <w:rsid w:val="005E5B81"/>
    <w:rsid w:val="005F2CB1"/>
    <w:rsid w:val="005F3025"/>
    <w:rsid w:val="005F5746"/>
    <w:rsid w:val="005F618C"/>
    <w:rsid w:val="005F6E08"/>
    <w:rsid w:val="005F70BD"/>
    <w:rsid w:val="0060283C"/>
    <w:rsid w:val="00604F14"/>
    <w:rsid w:val="00611B83"/>
    <w:rsid w:val="00613257"/>
    <w:rsid w:val="00620A71"/>
    <w:rsid w:val="00620D80"/>
    <w:rsid w:val="006234A6"/>
    <w:rsid w:val="00627458"/>
    <w:rsid w:val="00630001"/>
    <w:rsid w:val="006311B3"/>
    <w:rsid w:val="0063284C"/>
    <w:rsid w:val="0063447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CE4"/>
    <w:rsid w:val="006655EE"/>
    <w:rsid w:val="00665E3B"/>
    <w:rsid w:val="00667EE7"/>
    <w:rsid w:val="00670922"/>
    <w:rsid w:val="00670BE1"/>
    <w:rsid w:val="0067218F"/>
    <w:rsid w:val="00672BD8"/>
    <w:rsid w:val="006741F2"/>
    <w:rsid w:val="00674CC3"/>
    <w:rsid w:val="00674EF4"/>
    <w:rsid w:val="00675C72"/>
    <w:rsid w:val="006771A2"/>
    <w:rsid w:val="006771F9"/>
    <w:rsid w:val="006776D7"/>
    <w:rsid w:val="00677FE2"/>
    <w:rsid w:val="00681003"/>
    <w:rsid w:val="006817C9"/>
    <w:rsid w:val="00683ECE"/>
    <w:rsid w:val="00692618"/>
    <w:rsid w:val="00695FC2"/>
    <w:rsid w:val="00696949"/>
    <w:rsid w:val="00697052"/>
    <w:rsid w:val="006A46FB"/>
    <w:rsid w:val="006A5E28"/>
    <w:rsid w:val="006A697B"/>
    <w:rsid w:val="006A7AFF"/>
    <w:rsid w:val="006B1816"/>
    <w:rsid w:val="006B2099"/>
    <w:rsid w:val="006B48EF"/>
    <w:rsid w:val="006B50CF"/>
    <w:rsid w:val="006B6127"/>
    <w:rsid w:val="006C03B8"/>
    <w:rsid w:val="006C474C"/>
    <w:rsid w:val="006C4AF6"/>
    <w:rsid w:val="006C5EC9"/>
    <w:rsid w:val="006C6059"/>
    <w:rsid w:val="006C7522"/>
    <w:rsid w:val="006D592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557"/>
    <w:rsid w:val="00710CCC"/>
    <w:rsid w:val="00712287"/>
    <w:rsid w:val="00712772"/>
    <w:rsid w:val="00712FEB"/>
    <w:rsid w:val="007148D3"/>
    <w:rsid w:val="00715B9A"/>
    <w:rsid w:val="0072456E"/>
    <w:rsid w:val="007257D0"/>
    <w:rsid w:val="00726EA6"/>
    <w:rsid w:val="00727208"/>
    <w:rsid w:val="00727680"/>
    <w:rsid w:val="0073458C"/>
    <w:rsid w:val="007348B1"/>
    <w:rsid w:val="007362A6"/>
    <w:rsid w:val="007362DF"/>
    <w:rsid w:val="00736D7D"/>
    <w:rsid w:val="00737F91"/>
    <w:rsid w:val="00740E58"/>
    <w:rsid w:val="007445A0"/>
    <w:rsid w:val="0074524B"/>
    <w:rsid w:val="00747D8B"/>
    <w:rsid w:val="00747EF4"/>
    <w:rsid w:val="00751228"/>
    <w:rsid w:val="00753E1C"/>
    <w:rsid w:val="0075593E"/>
    <w:rsid w:val="007571E1"/>
    <w:rsid w:val="007604B2"/>
    <w:rsid w:val="00760F2A"/>
    <w:rsid w:val="00765281"/>
    <w:rsid w:val="00766BAD"/>
    <w:rsid w:val="007729A2"/>
    <w:rsid w:val="007755F2"/>
    <w:rsid w:val="00776971"/>
    <w:rsid w:val="0077702D"/>
    <w:rsid w:val="00780A80"/>
    <w:rsid w:val="0078177E"/>
    <w:rsid w:val="0078304C"/>
    <w:rsid w:val="00783673"/>
    <w:rsid w:val="00785490"/>
    <w:rsid w:val="007925EA"/>
    <w:rsid w:val="00793CD8"/>
    <w:rsid w:val="00795C92"/>
    <w:rsid w:val="00796231"/>
    <w:rsid w:val="007A1A5F"/>
    <w:rsid w:val="007A1CB3"/>
    <w:rsid w:val="007A306F"/>
    <w:rsid w:val="007A43A6"/>
    <w:rsid w:val="007A58A6"/>
    <w:rsid w:val="007A631B"/>
    <w:rsid w:val="007B3410"/>
    <w:rsid w:val="007B3A32"/>
    <w:rsid w:val="007B3D2D"/>
    <w:rsid w:val="007B50AE"/>
    <w:rsid w:val="007B51DF"/>
    <w:rsid w:val="007C05DD"/>
    <w:rsid w:val="007C23A9"/>
    <w:rsid w:val="007C3D18"/>
    <w:rsid w:val="007C60BF"/>
    <w:rsid w:val="007C6A07"/>
    <w:rsid w:val="007C75A1"/>
    <w:rsid w:val="007C77A5"/>
    <w:rsid w:val="007C7D63"/>
    <w:rsid w:val="007D04E5"/>
    <w:rsid w:val="007D5901"/>
    <w:rsid w:val="007D7526"/>
    <w:rsid w:val="007D7573"/>
    <w:rsid w:val="007E1D58"/>
    <w:rsid w:val="007E1DD3"/>
    <w:rsid w:val="007E3196"/>
    <w:rsid w:val="007E4610"/>
    <w:rsid w:val="007E4715"/>
    <w:rsid w:val="007E505B"/>
    <w:rsid w:val="007E7091"/>
    <w:rsid w:val="00803FAE"/>
    <w:rsid w:val="0080605F"/>
    <w:rsid w:val="00807786"/>
    <w:rsid w:val="00807D91"/>
    <w:rsid w:val="0081132F"/>
    <w:rsid w:val="00811541"/>
    <w:rsid w:val="00811FCB"/>
    <w:rsid w:val="008158D6"/>
    <w:rsid w:val="00817196"/>
    <w:rsid w:val="008235DB"/>
    <w:rsid w:val="00824AB4"/>
    <w:rsid w:val="00825C42"/>
    <w:rsid w:val="00825D25"/>
    <w:rsid w:val="00827D6F"/>
    <w:rsid w:val="00830F96"/>
    <w:rsid w:val="00832D7C"/>
    <w:rsid w:val="008376AC"/>
    <w:rsid w:val="008444E8"/>
    <w:rsid w:val="00844E80"/>
    <w:rsid w:val="00846FE7"/>
    <w:rsid w:val="00847187"/>
    <w:rsid w:val="008477C9"/>
    <w:rsid w:val="00855016"/>
    <w:rsid w:val="00856911"/>
    <w:rsid w:val="008677FD"/>
    <w:rsid w:val="008706D4"/>
    <w:rsid w:val="00870F8A"/>
    <w:rsid w:val="008718BF"/>
    <w:rsid w:val="008719A4"/>
    <w:rsid w:val="00871D23"/>
    <w:rsid w:val="00872D9F"/>
    <w:rsid w:val="00874312"/>
    <w:rsid w:val="0087437C"/>
    <w:rsid w:val="00875CD7"/>
    <w:rsid w:val="00875DE6"/>
    <w:rsid w:val="00876B4D"/>
    <w:rsid w:val="008779E9"/>
    <w:rsid w:val="00877F18"/>
    <w:rsid w:val="008846D2"/>
    <w:rsid w:val="0088714E"/>
    <w:rsid w:val="00890D19"/>
    <w:rsid w:val="0089184D"/>
    <w:rsid w:val="008941E3"/>
    <w:rsid w:val="00894A88"/>
    <w:rsid w:val="00895386"/>
    <w:rsid w:val="008A16CF"/>
    <w:rsid w:val="008A21FF"/>
    <w:rsid w:val="008A2CE2"/>
    <w:rsid w:val="008A30AC"/>
    <w:rsid w:val="008A44B8"/>
    <w:rsid w:val="008A51A8"/>
    <w:rsid w:val="008A54C7"/>
    <w:rsid w:val="008A73C5"/>
    <w:rsid w:val="008A77D8"/>
    <w:rsid w:val="008B0483"/>
    <w:rsid w:val="008B120C"/>
    <w:rsid w:val="008B51A0"/>
    <w:rsid w:val="008B592A"/>
    <w:rsid w:val="008B596C"/>
    <w:rsid w:val="008B64A7"/>
    <w:rsid w:val="008B7B5C"/>
    <w:rsid w:val="008C0C99"/>
    <w:rsid w:val="008C2017"/>
    <w:rsid w:val="008C4958"/>
    <w:rsid w:val="008C4BAA"/>
    <w:rsid w:val="008C6AE8"/>
    <w:rsid w:val="008C7573"/>
    <w:rsid w:val="008D00A5"/>
    <w:rsid w:val="008D15DF"/>
    <w:rsid w:val="008D34F1"/>
    <w:rsid w:val="008D39D8"/>
    <w:rsid w:val="008D5B05"/>
    <w:rsid w:val="008D6D1A"/>
    <w:rsid w:val="008E065E"/>
    <w:rsid w:val="008E0927"/>
    <w:rsid w:val="008E1909"/>
    <w:rsid w:val="008E2A16"/>
    <w:rsid w:val="008E4051"/>
    <w:rsid w:val="008E4E44"/>
    <w:rsid w:val="008E6B7F"/>
    <w:rsid w:val="008F1C4E"/>
    <w:rsid w:val="008F1EAB"/>
    <w:rsid w:val="008F33DC"/>
    <w:rsid w:val="008F477F"/>
    <w:rsid w:val="008F73EF"/>
    <w:rsid w:val="00900F8B"/>
    <w:rsid w:val="00902350"/>
    <w:rsid w:val="0090336B"/>
    <w:rsid w:val="009053AA"/>
    <w:rsid w:val="00906939"/>
    <w:rsid w:val="00910B7D"/>
    <w:rsid w:val="00911DFB"/>
    <w:rsid w:val="009139D9"/>
    <w:rsid w:val="00913F62"/>
    <w:rsid w:val="00914AD8"/>
    <w:rsid w:val="00916079"/>
    <w:rsid w:val="00917CE9"/>
    <w:rsid w:val="00920BF2"/>
    <w:rsid w:val="00922010"/>
    <w:rsid w:val="00931BD9"/>
    <w:rsid w:val="009368F3"/>
    <w:rsid w:val="00937290"/>
    <w:rsid w:val="009373F0"/>
    <w:rsid w:val="00941636"/>
    <w:rsid w:val="00943742"/>
    <w:rsid w:val="00945C05"/>
    <w:rsid w:val="00946945"/>
    <w:rsid w:val="00947713"/>
    <w:rsid w:val="00950DE7"/>
    <w:rsid w:val="00953920"/>
    <w:rsid w:val="00953D47"/>
    <w:rsid w:val="0095681E"/>
    <w:rsid w:val="00956894"/>
    <w:rsid w:val="009572D4"/>
    <w:rsid w:val="00961921"/>
    <w:rsid w:val="0096430A"/>
    <w:rsid w:val="00964803"/>
    <w:rsid w:val="0096554B"/>
    <w:rsid w:val="00965597"/>
    <w:rsid w:val="0096584A"/>
    <w:rsid w:val="00971F08"/>
    <w:rsid w:val="0097405F"/>
    <w:rsid w:val="0097603D"/>
    <w:rsid w:val="00976949"/>
    <w:rsid w:val="00977276"/>
    <w:rsid w:val="00980477"/>
    <w:rsid w:val="00982046"/>
    <w:rsid w:val="00985253"/>
    <w:rsid w:val="009853B3"/>
    <w:rsid w:val="009871CA"/>
    <w:rsid w:val="00990630"/>
    <w:rsid w:val="0099123B"/>
    <w:rsid w:val="00991761"/>
    <w:rsid w:val="00994DCA"/>
    <w:rsid w:val="009960EC"/>
    <w:rsid w:val="009970DD"/>
    <w:rsid w:val="009A0FBA"/>
    <w:rsid w:val="009A1601"/>
    <w:rsid w:val="009A2BBB"/>
    <w:rsid w:val="009A3BB6"/>
    <w:rsid w:val="009A462D"/>
    <w:rsid w:val="009A5CBA"/>
    <w:rsid w:val="009A5F93"/>
    <w:rsid w:val="009B1F30"/>
    <w:rsid w:val="009B3AC2"/>
    <w:rsid w:val="009B4DF4"/>
    <w:rsid w:val="009B564E"/>
    <w:rsid w:val="009B7E87"/>
    <w:rsid w:val="009C0169"/>
    <w:rsid w:val="009C1624"/>
    <w:rsid w:val="009C25E8"/>
    <w:rsid w:val="009C3B1C"/>
    <w:rsid w:val="009C403E"/>
    <w:rsid w:val="009C441C"/>
    <w:rsid w:val="009C5F75"/>
    <w:rsid w:val="009D39B5"/>
    <w:rsid w:val="009D4FF0"/>
    <w:rsid w:val="009D703C"/>
    <w:rsid w:val="009D718F"/>
    <w:rsid w:val="009E068F"/>
    <w:rsid w:val="009E14E0"/>
    <w:rsid w:val="009E2BD7"/>
    <w:rsid w:val="009E35DB"/>
    <w:rsid w:val="009E47A3"/>
    <w:rsid w:val="009F08F3"/>
    <w:rsid w:val="009F344F"/>
    <w:rsid w:val="009F3731"/>
    <w:rsid w:val="009F3D9C"/>
    <w:rsid w:val="009F4167"/>
    <w:rsid w:val="009F4C6E"/>
    <w:rsid w:val="009F570F"/>
    <w:rsid w:val="00A031D8"/>
    <w:rsid w:val="00A048A8"/>
    <w:rsid w:val="00A04F49"/>
    <w:rsid w:val="00A1026B"/>
    <w:rsid w:val="00A13E54"/>
    <w:rsid w:val="00A17F63"/>
    <w:rsid w:val="00A21104"/>
    <w:rsid w:val="00A2193B"/>
    <w:rsid w:val="00A2351A"/>
    <w:rsid w:val="00A264A9"/>
    <w:rsid w:val="00A26DCF"/>
    <w:rsid w:val="00A27785"/>
    <w:rsid w:val="00A30187"/>
    <w:rsid w:val="00A3448A"/>
    <w:rsid w:val="00A36297"/>
    <w:rsid w:val="00A41E2B"/>
    <w:rsid w:val="00A459E9"/>
    <w:rsid w:val="00A45B74"/>
    <w:rsid w:val="00A51E78"/>
    <w:rsid w:val="00A52E1D"/>
    <w:rsid w:val="00A575AC"/>
    <w:rsid w:val="00A61499"/>
    <w:rsid w:val="00A62A77"/>
    <w:rsid w:val="00A63483"/>
    <w:rsid w:val="00A64C32"/>
    <w:rsid w:val="00A657D7"/>
    <w:rsid w:val="00A660AC"/>
    <w:rsid w:val="00A67E6C"/>
    <w:rsid w:val="00A71B99"/>
    <w:rsid w:val="00A72111"/>
    <w:rsid w:val="00A728C9"/>
    <w:rsid w:val="00A729E3"/>
    <w:rsid w:val="00A739D0"/>
    <w:rsid w:val="00A73CF3"/>
    <w:rsid w:val="00A761D4"/>
    <w:rsid w:val="00A76F8B"/>
    <w:rsid w:val="00A77EC4"/>
    <w:rsid w:val="00A817B2"/>
    <w:rsid w:val="00A86884"/>
    <w:rsid w:val="00A90300"/>
    <w:rsid w:val="00A92879"/>
    <w:rsid w:val="00A9442A"/>
    <w:rsid w:val="00AA016F"/>
    <w:rsid w:val="00AA1D74"/>
    <w:rsid w:val="00AA1ED6"/>
    <w:rsid w:val="00AA305C"/>
    <w:rsid w:val="00AA353D"/>
    <w:rsid w:val="00AA51D6"/>
    <w:rsid w:val="00AB0BC8"/>
    <w:rsid w:val="00AB11CA"/>
    <w:rsid w:val="00AB145E"/>
    <w:rsid w:val="00AB14D9"/>
    <w:rsid w:val="00AB4AB8"/>
    <w:rsid w:val="00AB508C"/>
    <w:rsid w:val="00AB655E"/>
    <w:rsid w:val="00AB793E"/>
    <w:rsid w:val="00AC007F"/>
    <w:rsid w:val="00AC2ECD"/>
    <w:rsid w:val="00AC3119"/>
    <w:rsid w:val="00AC49FB"/>
    <w:rsid w:val="00AC55DA"/>
    <w:rsid w:val="00AC5A10"/>
    <w:rsid w:val="00AC6BE6"/>
    <w:rsid w:val="00AD0285"/>
    <w:rsid w:val="00AD0AA3"/>
    <w:rsid w:val="00AD1556"/>
    <w:rsid w:val="00AD2ED0"/>
    <w:rsid w:val="00AD3F94"/>
    <w:rsid w:val="00AD4A5A"/>
    <w:rsid w:val="00AD594A"/>
    <w:rsid w:val="00AE27AC"/>
    <w:rsid w:val="00AE3E2B"/>
    <w:rsid w:val="00AE40E0"/>
    <w:rsid w:val="00AE4DBA"/>
    <w:rsid w:val="00AE4F07"/>
    <w:rsid w:val="00AF1C5D"/>
    <w:rsid w:val="00AF2B59"/>
    <w:rsid w:val="00AF42D7"/>
    <w:rsid w:val="00AF5479"/>
    <w:rsid w:val="00AF75DE"/>
    <w:rsid w:val="00B006FE"/>
    <w:rsid w:val="00B007CB"/>
    <w:rsid w:val="00B02AA9"/>
    <w:rsid w:val="00B02FA3"/>
    <w:rsid w:val="00B05084"/>
    <w:rsid w:val="00B06740"/>
    <w:rsid w:val="00B07E89"/>
    <w:rsid w:val="00B157F9"/>
    <w:rsid w:val="00B20256"/>
    <w:rsid w:val="00B20D09"/>
    <w:rsid w:val="00B271C5"/>
    <w:rsid w:val="00B2763F"/>
    <w:rsid w:val="00B27AAC"/>
    <w:rsid w:val="00B30929"/>
    <w:rsid w:val="00B33CD1"/>
    <w:rsid w:val="00B348E0"/>
    <w:rsid w:val="00B351CB"/>
    <w:rsid w:val="00B372AA"/>
    <w:rsid w:val="00B40445"/>
    <w:rsid w:val="00B409E0"/>
    <w:rsid w:val="00B41888"/>
    <w:rsid w:val="00B418C3"/>
    <w:rsid w:val="00B45A52"/>
    <w:rsid w:val="00B46175"/>
    <w:rsid w:val="00B504AD"/>
    <w:rsid w:val="00B548B7"/>
    <w:rsid w:val="00B57502"/>
    <w:rsid w:val="00B6138A"/>
    <w:rsid w:val="00B63B2A"/>
    <w:rsid w:val="00B664C7"/>
    <w:rsid w:val="00B739F6"/>
    <w:rsid w:val="00B77B0A"/>
    <w:rsid w:val="00B81A6C"/>
    <w:rsid w:val="00B85DE5"/>
    <w:rsid w:val="00B90F73"/>
    <w:rsid w:val="00B93B59"/>
    <w:rsid w:val="00B9406A"/>
    <w:rsid w:val="00B94A19"/>
    <w:rsid w:val="00BA0064"/>
    <w:rsid w:val="00BA1098"/>
    <w:rsid w:val="00BA2280"/>
    <w:rsid w:val="00BA2A08"/>
    <w:rsid w:val="00BA37D2"/>
    <w:rsid w:val="00BA4F6D"/>
    <w:rsid w:val="00BA56D2"/>
    <w:rsid w:val="00BA76E0"/>
    <w:rsid w:val="00BB0D74"/>
    <w:rsid w:val="00BB2A25"/>
    <w:rsid w:val="00BB51E9"/>
    <w:rsid w:val="00BC0FDC"/>
    <w:rsid w:val="00BC3053"/>
    <w:rsid w:val="00BC4C73"/>
    <w:rsid w:val="00BC4D2E"/>
    <w:rsid w:val="00BC5ABB"/>
    <w:rsid w:val="00BC670A"/>
    <w:rsid w:val="00BC797F"/>
    <w:rsid w:val="00BD1B9F"/>
    <w:rsid w:val="00BD48AC"/>
    <w:rsid w:val="00BD5F1A"/>
    <w:rsid w:val="00BD6FB3"/>
    <w:rsid w:val="00BE1234"/>
    <w:rsid w:val="00BE2FA6"/>
    <w:rsid w:val="00BE333F"/>
    <w:rsid w:val="00BE7406"/>
    <w:rsid w:val="00BE7603"/>
    <w:rsid w:val="00BF3279"/>
    <w:rsid w:val="00BF74C7"/>
    <w:rsid w:val="00C015F1"/>
    <w:rsid w:val="00C01F33"/>
    <w:rsid w:val="00C02706"/>
    <w:rsid w:val="00C02CC6"/>
    <w:rsid w:val="00C0332E"/>
    <w:rsid w:val="00C040F7"/>
    <w:rsid w:val="00C044AB"/>
    <w:rsid w:val="00C05397"/>
    <w:rsid w:val="00C05706"/>
    <w:rsid w:val="00C07377"/>
    <w:rsid w:val="00C07ADE"/>
    <w:rsid w:val="00C10478"/>
    <w:rsid w:val="00C11B71"/>
    <w:rsid w:val="00C12107"/>
    <w:rsid w:val="00C140D9"/>
    <w:rsid w:val="00C14D4B"/>
    <w:rsid w:val="00C154BB"/>
    <w:rsid w:val="00C161B7"/>
    <w:rsid w:val="00C279B5"/>
    <w:rsid w:val="00C27C45"/>
    <w:rsid w:val="00C30C87"/>
    <w:rsid w:val="00C3719D"/>
    <w:rsid w:val="00C37CB2"/>
    <w:rsid w:val="00C473A5"/>
    <w:rsid w:val="00C50147"/>
    <w:rsid w:val="00C52949"/>
    <w:rsid w:val="00C54995"/>
    <w:rsid w:val="00C54D41"/>
    <w:rsid w:val="00C56C62"/>
    <w:rsid w:val="00C60783"/>
    <w:rsid w:val="00C62F2F"/>
    <w:rsid w:val="00C64672"/>
    <w:rsid w:val="00C6586D"/>
    <w:rsid w:val="00C70697"/>
    <w:rsid w:val="00C71AEF"/>
    <w:rsid w:val="00C72093"/>
    <w:rsid w:val="00C72EF4"/>
    <w:rsid w:val="00C74001"/>
    <w:rsid w:val="00C744FE"/>
    <w:rsid w:val="00C75D2F"/>
    <w:rsid w:val="00C75DE7"/>
    <w:rsid w:val="00C767BE"/>
    <w:rsid w:val="00C76E3C"/>
    <w:rsid w:val="00C81568"/>
    <w:rsid w:val="00C83B19"/>
    <w:rsid w:val="00C84FA5"/>
    <w:rsid w:val="00C9027A"/>
    <w:rsid w:val="00C9068E"/>
    <w:rsid w:val="00C93814"/>
    <w:rsid w:val="00C93C4B"/>
    <w:rsid w:val="00C944AB"/>
    <w:rsid w:val="00C95B40"/>
    <w:rsid w:val="00CA1805"/>
    <w:rsid w:val="00CA1ED8"/>
    <w:rsid w:val="00CB1F63"/>
    <w:rsid w:val="00CB7170"/>
    <w:rsid w:val="00CC040E"/>
    <w:rsid w:val="00CC111F"/>
    <w:rsid w:val="00CC2011"/>
    <w:rsid w:val="00CC3D8D"/>
    <w:rsid w:val="00CC3EA0"/>
    <w:rsid w:val="00CC54F4"/>
    <w:rsid w:val="00CC7B45"/>
    <w:rsid w:val="00CD1188"/>
    <w:rsid w:val="00CD2ED1"/>
    <w:rsid w:val="00CD337B"/>
    <w:rsid w:val="00CE0424"/>
    <w:rsid w:val="00CE5B72"/>
    <w:rsid w:val="00CE7561"/>
    <w:rsid w:val="00CF1354"/>
    <w:rsid w:val="00CF3B1F"/>
    <w:rsid w:val="00CF3BF6"/>
    <w:rsid w:val="00CF625B"/>
    <w:rsid w:val="00CF687E"/>
    <w:rsid w:val="00D01810"/>
    <w:rsid w:val="00D0349B"/>
    <w:rsid w:val="00D10249"/>
    <w:rsid w:val="00D115C3"/>
    <w:rsid w:val="00D11897"/>
    <w:rsid w:val="00D13135"/>
    <w:rsid w:val="00D13E4E"/>
    <w:rsid w:val="00D178C7"/>
    <w:rsid w:val="00D239A7"/>
    <w:rsid w:val="00D23F47"/>
    <w:rsid w:val="00D30A83"/>
    <w:rsid w:val="00D3322A"/>
    <w:rsid w:val="00D36E71"/>
    <w:rsid w:val="00D37D87"/>
    <w:rsid w:val="00D40B33"/>
    <w:rsid w:val="00D42DA4"/>
    <w:rsid w:val="00D4318F"/>
    <w:rsid w:val="00D438BF"/>
    <w:rsid w:val="00D440F8"/>
    <w:rsid w:val="00D52189"/>
    <w:rsid w:val="00D52352"/>
    <w:rsid w:val="00D546FF"/>
    <w:rsid w:val="00D55AD5"/>
    <w:rsid w:val="00D576CA"/>
    <w:rsid w:val="00D577C4"/>
    <w:rsid w:val="00D60FDE"/>
    <w:rsid w:val="00D61AF5"/>
    <w:rsid w:val="00D651D4"/>
    <w:rsid w:val="00D652B5"/>
    <w:rsid w:val="00D65EA6"/>
    <w:rsid w:val="00D66155"/>
    <w:rsid w:val="00D708B0"/>
    <w:rsid w:val="00D71E97"/>
    <w:rsid w:val="00D72B05"/>
    <w:rsid w:val="00D73F53"/>
    <w:rsid w:val="00D76F8E"/>
    <w:rsid w:val="00D77B1D"/>
    <w:rsid w:val="00D8021F"/>
    <w:rsid w:val="00D80383"/>
    <w:rsid w:val="00D81C12"/>
    <w:rsid w:val="00D823C6"/>
    <w:rsid w:val="00D82E64"/>
    <w:rsid w:val="00D8327F"/>
    <w:rsid w:val="00D83F97"/>
    <w:rsid w:val="00D862F5"/>
    <w:rsid w:val="00D86CA3"/>
    <w:rsid w:val="00D871CE"/>
    <w:rsid w:val="00D9127D"/>
    <w:rsid w:val="00D9196D"/>
    <w:rsid w:val="00D9280D"/>
    <w:rsid w:val="00D92982"/>
    <w:rsid w:val="00DA305E"/>
    <w:rsid w:val="00DA4F42"/>
    <w:rsid w:val="00DA5417"/>
    <w:rsid w:val="00DA56E8"/>
    <w:rsid w:val="00DB0A9F"/>
    <w:rsid w:val="00DB377D"/>
    <w:rsid w:val="00DC2D36"/>
    <w:rsid w:val="00DC53EF"/>
    <w:rsid w:val="00DD01EB"/>
    <w:rsid w:val="00DD5043"/>
    <w:rsid w:val="00DE4E13"/>
    <w:rsid w:val="00DE5608"/>
    <w:rsid w:val="00DE58D0"/>
    <w:rsid w:val="00DE654F"/>
    <w:rsid w:val="00DF0B6E"/>
    <w:rsid w:val="00DF15E0"/>
    <w:rsid w:val="00DF37A0"/>
    <w:rsid w:val="00E02B4F"/>
    <w:rsid w:val="00E05F13"/>
    <w:rsid w:val="00E110E7"/>
    <w:rsid w:val="00E11B20"/>
    <w:rsid w:val="00E13726"/>
    <w:rsid w:val="00E17FA2"/>
    <w:rsid w:val="00E22330"/>
    <w:rsid w:val="00E2641F"/>
    <w:rsid w:val="00E276F6"/>
    <w:rsid w:val="00E30B5A"/>
    <w:rsid w:val="00E3123D"/>
    <w:rsid w:val="00E31461"/>
    <w:rsid w:val="00E31D43"/>
    <w:rsid w:val="00E32575"/>
    <w:rsid w:val="00E32608"/>
    <w:rsid w:val="00E34188"/>
    <w:rsid w:val="00E34B6E"/>
    <w:rsid w:val="00E35559"/>
    <w:rsid w:val="00E3723A"/>
    <w:rsid w:val="00E37860"/>
    <w:rsid w:val="00E40280"/>
    <w:rsid w:val="00E446F1"/>
    <w:rsid w:val="00E46886"/>
    <w:rsid w:val="00E47AEF"/>
    <w:rsid w:val="00E47C27"/>
    <w:rsid w:val="00E53483"/>
    <w:rsid w:val="00E53B75"/>
    <w:rsid w:val="00E54E3B"/>
    <w:rsid w:val="00E57565"/>
    <w:rsid w:val="00E610C6"/>
    <w:rsid w:val="00E63838"/>
    <w:rsid w:val="00E64434"/>
    <w:rsid w:val="00E67C51"/>
    <w:rsid w:val="00E7132D"/>
    <w:rsid w:val="00E72EFC"/>
    <w:rsid w:val="00E758EC"/>
    <w:rsid w:val="00E80E41"/>
    <w:rsid w:val="00E8234C"/>
    <w:rsid w:val="00E83AA9"/>
    <w:rsid w:val="00E85928"/>
    <w:rsid w:val="00E85F4C"/>
    <w:rsid w:val="00E87822"/>
    <w:rsid w:val="00E90395"/>
    <w:rsid w:val="00E90E49"/>
    <w:rsid w:val="00E917F9"/>
    <w:rsid w:val="00E9291C"/>
    <w:rsid w:val="00E93FFE"/>
    <w:rsid w:val="00E94F8A"/>
    <w:rsid w:val="00EA7A41"/>
    <w:rsid w:val="00EB077B"/>
    <w:rsid w:val="00EB2028"/>
    <w:rsid w:val="00EB4EA2"/>
    <w:rsid w:val="00EC18B1"/>
    <w:rsid w:val="00EC24D5"/>
    <w:rsid w:val="00EC27C6"/>
    <w:rsid w:val="00EC4207"/>
    <w:rsid w:val="00EC5653"/>
    <w:rsid w:val="00EC71CE"/>
    <w:rsid w:val="00ED0EE9"/>
    <w:rsid w:val="00ED1006"/>
    <w:rsid w:val="00EE28DB"/>
    <w:rsid w:val="00EE4447"/>
    <w:rsid w:val="00EE75BB"/>
    <w:rsid w:val="00EF18FE"/>
    <w:rsid w:val="00EF3773"/>
    <w:rsid w:val="00EF5441"/>
    <w:rsid w:val="00EF5787"/>
    <w:rsid w:val="00EF60D0"/>
    <w:rsid w:val="00EF6F80"/>
    <w:rsid w:val="00EF756B"/>
    <w:rsid w:val="00F0528D"/>
    <w:rsid w:val="00F06C67"/>
    <w:rsid w:val="00F06DFD"/>
    <w:rsid w:val="00F071D1"/>
    <w:rsid w:val="00F07533"/>
    <w:rsid w:val="00F10629"/>
    <w:rsid w:val="00F14E89"/>
    <w:rsid w:val="00F15FA5"/>
    <w:rsid w:val="00F209B7"/>
    <w:rsid w:val="00F2376F"/>
    <w:rsid w:val="00F243D8"/>
    <w:rsid w:val="00F272EA"/>
    <w:rsid w:val="00F30064"/>
    <w:rsid w:val="00F30828"/>
    <w:rsid w:val="00F313D6"/>
    <w:rsid w:val="00F40F0C"/>
    <w:rsid w:val="00F4200C"/>
    <w:rsid w:val="00F46E00"/>
    <w:rsid w:val="00F46FB9"/>
    <w:rsid w:val="00F4700B"/>
    <w:rsid w:val="00F4766C"/>
    <w:rsid w:val="00F5060E"/>
    <w:rsid w:val="00F507D1"/>
    <w:rsid w:val="00F51197"/>
    <w:rsid w:val="00F519CE"/>
    <w:rsid w:val="00F51ADA"/>
    <w:rsid w:val="00F55F3E"/>
    <w:rsid w:val="00F60203"/>
    <w:rsid w:val="00F607C5"/>
    <w:rsid w:val="00F60DEA"/>
    <w:rsid w:val="00F6302A"/>
    <w:rsid w:val="00F63950"/>
    <w:rsid w:val="00F64C2B"/>
    <w:rsid w:val="00F651BE"/>
    <w:rsid w:val="00F65F61"/>
    <w:rsid w:val="00F6773D"/>
    <w:rsid w:val="00F67F53"/>
    <w:rsid w:val="00F703BE"/>
    <w:rsid w:val="00F70C1F"/>
    <w:rsid w:val="00F71F69"/>
    <w:rsid w:val="00F72B72"/>
    <w:rsid w:val="00F74BB9"/>
    <w:rsid w:val="00F75582"/>
    <w:rsid w:val="00F76EFA"/>
    <w:rsid w:val="00F804BE"/>
    <w:rsid w:val="00F80636"/>
    <w:rsid w:val="00F817CE"/>
    <w:rsid w:val="00F8456C"/>
    <w:rsid w:val="00F859D8"/>
    <w:rsid w:val="00F85CE8"/>
    <w:rsid w:val="00F868F5"/>
    <w:rsid w:val="00F874DD"/>
    <w:rsid w:val="00F9056A"/>
    <w:rsid w:val="00F90F8D"/>
    <w:rsid w:val="00F92782"/>
    <w:rsid w:val="00F93AA9"/>
    <w:rsid w:val="00F9551E"/>
    <w:rsid w:val="00F96985"/>
    <w:rsid w:val="00F97838"/>
    <w:rsid w:val="00FA2BB3"/>
    <w:rsid w:val="00FB418B"/>
    <w:rsid w:val="00FB42DA"/>
    <w:rsid w:val="00FB45BF"/>
    <w:rsid w:val="00FB4C80"/>
    <w:rsid w:val="00FB6A6A"/>
    <w:rsid w:val="00FC4B47"/>
    <w:rsid w:val="00FC7429"/>
    <w:rsid w:val="00FD07F6"/>
    <w:rsid w:val="00FD0B78"/>
    <w:rsid w:val="00FD1EC8"/>
    <w:rsid w:val="00FD47ED"/>
    <w:rsid w:val="00FD74DB"/>
    <w:rsid w:val="00FD7660"/>
    <w:rsid w:val="00FE0655"/>
    <w:rsid w:val="00FE2365"/>
    <w:rsid w:val="00FE29A1"/>
    <w:rsid w:val="00FE37D7"/>
    <w:rsid w:val="00FE4C7B"/>
    <w:rsid w:val="00FE5413"/>
    <w:rsid w:val="00FE5B2E"/>
    <w:rsid w:val="00FE7138"/>
    <w:rsid w:val="00FE7336"/>
    <w:rsid w:val="00FE787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468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F8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900F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0F8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qFormat/>
    <w:locked/>
    <w:rsid w:val="00E05F13"/>
    <w:rPr>
      <w:rFonts w:ascii="Arial" w:hAnsi="Arial"/>
      <w:b/>
      <w:bCs/>
      <w:lang w:val="en-US" w:eastAsia="zh-CN"/>
    </w:rPr>
  </w:style>
  <w:style w:type="table" w:styleId="GridTable5Dark-Accent1">
    <w:name w:val="Grid Table 5 Dark Accent 1"/>
    <w:basedOn w:val="TableNormal"/>
    <w:uiPriority w:val="50"/>
    <w:rsid w:val="0084718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3B08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PlaceholderText">
    <w:name w:val="Placeholder Text"/>
    <w:basedOn w:val="DefaultParagraphFont"/>
    <w:uiPriority w:val="99"/>
    <w:semiHidden/>
    <w:rsid w:val="00426B11"/>
    <w:rPr>
      <w:color w:val="808080"/>
    </w:rPr>
  </w:style>
  <w:style w:type="character" w:styleId="UnresolvedMention">
    <w:name w:val="Unresolved Mention"/>
    <w:basedOn w:val="DefaultParagraphFont"/>
    <w:uiPriority w:val="99"/>
    <w:semiHidden/>
    <w:unhideWhenUsed/>
    <w:rsid w:val="002341EC"/>
    <w:rPr>
      <w:color w:val="605E5C"/>
      <w:shd w:val="clear" w:color="auto" w:fill="E1DFDD"/>
    </w:rPr>
  </w:style>
  <w:style w:type="paragraph" w:customStyle="1" w:styleId="Agreement">
    <w:name w:val="Agreement"/>
    <w:basedOn w:val="Normal"/>
    <w:next w:val="Normal"/>
    <w:qFormat/>
    <w:rsid w:val="001D75CD"/>
    <w:pPr>
      <w:numPr>
        <w:numId w:val="35"/>
      </w:numPr>
      <w:spacing w:before="60" w:line="256" w:lineRule="auto"/>
    </w:pPr>
    <w:rPr>
      <w:rFonts w:ascii="Arial" w:eastAsia="MS Mincho" w:hAnsi="Arial"/>
      <w:b/>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079">
      <w:bodyDiv w:val="1"/>
      <w:marLeft w:val="0"/>
      <w:marRight w:val="0"/>
      <w:marTop w:val="0"/>
      <w:marBottom w:val="0"/>
      <w:divBdr>
        <w:top w:val="none" w:sz="0" w:space="0" w:color="auto"/>
        <w:left w:val="none" w:sz="0" w:space="0" w:color="auto"/>
        <w:bottom w:val="none" w:sz="0" w:space="0" w:color="auto"/>
        <w:right w:val="none" w:sz="0" w:space="0" w:color="auto"/>
      </w:divBdr>
    </w:div>
    <w:div w:id="819076306">
      <w:bodyDiv w:val="1"/>
      <w:marLeft w:val="0"/>
      <w:marRight w:val="0"/>
      <w:marTop w:val="0"/>
      <w:marBottom w:val="0"/>
      <w:divBdr>
        <w:top w:val="none" w:sz="0" w:space="0" w:color="auto"/>
        <w:left w:val="none" w:sz="0" w:space="0" w:color="auto"/>
        <w:bottom w:val="none" w:sz="0" w:space="0" w:color="auto"/>
        <w:right w:val="none" w:sz="0" w:space="0" w:color="auto"/>
      </w:divBdr>
    </w:div>
    <w:div w:id="855192803">
      <w:bodyDiv w:val="1"/>
      <w:marLeft w:val="0"/>
      <w:marRight w:val="0"/>
      <w:marTop w:val="0"/>
      <w:marBottom w:val="0"/>
      <w:divBdr>
        <w:top w:val="none" w:sz="0" w:space="0" w:color="auto"/>
        <w:left w:val="none" w:sz="0" w:space="0" w:color="auto"/>
        <w:bottom w:val="none" w:sz="0" w:space="0" w:color="auto"/>
        <w:right w:val="none" w:sz="0" w:space="0" w:color="auto"/>
      </w:divBdr>
    </w:div>
    <w:div w:id="918951748">
      <w:bodyDiv w:val="1"/>
      <w:marLeft w:val="0"/>
      <w:marRight w:val="0"/>
      <w:marTop w:val="0"/>
      <w:marBottom w:val="0"/>
      <w:divBdr>
        <w:top w:val="none" w:sz="0" w:space="0" w:color="auto"/>
        <w:left w:val="none" w:sz="0" w:space="0" w:color="auto"/>
        <w:bottom w:val="none" w:sz="0" w:space="0" w:color="auto"/>
        <w:right w:val="none" w:sz="0" w:space="0" w:color="auto"/>
      </w:divBdr>
    </w:div>
    <w:div w:id="947005935">
      <w:bodyDiv w:val="1"/>
      <w:marLeft w:val="0"/>
      <w:marRight w:val="0"/>
      <w:marTop w:val="0"/>
      <w:marBottom w:val="0"/>
      <w:divBdr>
        <w:top w:val="none" w:sz="0" w:space="0" w:color="auto"/>
        <w:left w:val="none" w:sz="0" w:space="0" w:color="auto"/>
        <w:bottom w:val="none" w:sz="0" w:space="0" w:color="auto"/>
        <w:right w:val="none" w:sz="0" w:space="0" w:color="auto"/>
      </w:divBdr>
    </w:div>
    <w:div w:id="2016498686">
      <w:bodyDiv w:val="1"/>
      <w:marLeft w:val="0"/>
      <w:marRight w:val="0"/>
      <w:marTop w:val="0"/>
      <w:marBottom w:val="0"/>
      <w:divBdr>
        <w:top w:val="none" w:sz="0" w:space="0" w:color="auto"/>
        <w:left w:val="none" w:sz="0" w:space="0" w:color="auto"/>
        <w:bottom w:val="none" w:sz="0" w:space="0" w:color="auto"/>
        <w:right w:val="none" w:sz="0" w:space="0" w:color="auto"/>
      </w:divBdr>
    </w:div>
    <w:div w:id="2042586829">
      <w:bodyDiv w:val="1"/>
      <w:marLeft w:val="0"/>
      <w:marRight w:val="0"/>
      <w:marTop w:val="0"/>
      <w:marBottom w:val="0"/>
      <w:divBdr>
        <w:top w:val="none" w:sz="0" w:space="0" w:color="auto"/>
        <w:left w:val="none" w:sz="0" w:space="0" w:color="auto"/>
        <w:bottom w:val="none" w:sz="0" w:space="0" w:color="auto"/>
        <w:right w:val="none" w:sz="0" w:space="0" w:color="auto"/>
      </w:divBdr>
    </w:div>
    <w:div w:id="213047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CDB03-76CD-4C40-9FBB-0D18A78F2968}">
  <ds:schemaRefs>
    <ds:schemaRef ds:uri="http://schemas.microsoft.com/sharepoint/v3/contenttype/forms"/>
  </ds:schemaRefs>
</ds:datastoreItem>
</file>

<file path=customXml/itemProps2.xml><?xml version="1.0" encoding="utf-8"?>
<ds:datastoreItem xmlns:ds="http://schemas.openxmlformats.org/officeDocument/2006/customXml" ds:itemID="{4AC3D3AE-9A99-400B-AA41-D174656D246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EC62A45-7834-4D32-A289-11B8BA68A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F659C-5785-440D-B991-6B92E85AD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1393</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2019-11-08T19:36:00Z</dcterms:created>
  <dcterms:modified xsi:type="dcterms:W3CDTF">2019-11-09T05:53:00Z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